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pPr>
      <w:bookmarkStart w:id="0" w:name="_Toc2799"/>
      <w:bookmarkStart w:id="1" w:name="_Hlk27571921"/>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3</w:t>
      </w:r>
      <w:r>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甘肃省总体准入清单</w:t>
      </w:r>
      <w:bookmarkEnd w:id="0"/>
    </w:p>
    <w:tbl>
      <w:tblPr>
        <w:tblStyle w:val="2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9731"/>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369" w:type="dxa"/>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环境管控</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单元类型</w:t>
            </w:r>
          </w:p>
        </w:tc>
        <w:tc>
          <w:tcPr>
            <w:tcW w:w="9731" w:type="dxa"/>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管控要求</w:t>
            </w:r>
          </w:p>
        </w:tc>
        <w:tc>
          <w:tcPr>
            <w:tcW w:w="2566" w:type="dxa"/>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0" w:firstLineChars="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1369" w:type="dxa"/>
            <w:vAlign w:val="center"/>
          </w:tcPr>
          <w:p>
            <w:pPr>
              <w:pStyle w:val="2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优先保护</w:t>
            </w:r>
          </w:p>
          <w:p>
            <w:pPr>
              <w:pStyle w:val="2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单元</w:t>
            </w:r>
          </w:p>
        </w:tc>
        <w:tc>
          <w:tcPr>
            <w:tcW w:w="9731" w:type="dxa"/>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空间布局约束：</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（1）生态保护红线：严格遵照中共中央办公厅 国务院办公厅《关于在国土空间规划中统筹划定落实三条控制线的指导意见》《自然资源部 生态环境部 国家林业和草原局关于加强生态保护红线管理的通知（试行）》执行。生态保护红线内自然保护地核心保护区外，禁止开发性、生产性建设活动，在符合法律法规的前提下，仅允许以下对生态功能不造成破坏的有限人为活动。生态保护红线内自然保护区、风景名胜区、饮用水水源保护区等区域，依照法律法规执行。</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1.管护巡护、保护执法、科学研究、调查监测、测绘导航、防灾减灾救灾、军事国防、疫情防控等活动及相关的必要设施修筑。</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原住居民和其他合法权益主体，允许在不扩大现有建设用地、用海用岛、耕地、水产养殖规模和放牧强度（符合草畜平衡管理规定）的前提下，开展种植、放牧、捕捞、养殖（不包括投礁型海洋牧场、围海养殖）等活动，修筑生产生活设施。</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3.经依法批准的考古调查发掘、古生物化石调查发掘、标本采集和文物保护活动。</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4.按规定对人工商品林进行抚育采伐，或以提升森林质量、优化栖息地、建设生物防火隔离带等为目的的树种更新，依法开展的竹林采伐经营。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5.不破坏生态功能的适度参观旅游、科普宣教及符合相关规划的配套性服务设施和相关的必要公共设施建设及维护。</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6.必须且无法避让、符合县级以上国土空间规划的线性基础设施、通讯和防洪、供水设施建设和船舶航行、航道疏浚清淤等活动；已有的合法水利、交通运输等设施运行维护改造。</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7.地质调查与矿产资源勘查开采。包括：基础地质调查和战略性矿产资源远景调查等公益性工作；铀矿勘查开采活动，可办理矿业权登记；已依法设立的油气探矿权继续勘查活动，可办理探矿权延续、变更（不含扩大勘查区块范围）、保留、注销，当发现可供开采油气资源并探明储量时，可将开采拟占用的地表或海域范围依照国家相关规定调出生态保护红线；已依法设立的油气采矿权不扩大用地用海范围，继续开采，可办理采矿权延续、变更（不含扩大矿区范围）、注销；已依法设立的矿泉水和地热采矿权，在不超出已经核定的生产规模、不新增生产设施的前提下继续开采，可办理采矿权延续、变更（不含扩大矿区范围）、注销；已依法设立和新立铬、铜、镍、锂、钴、锆、钾盐、（中）重稀土矿等战略性矿产探矿权开展勘查活动，可办理探矿权登记，因国家战略需要开展开采活动的，可办理采矿权登记。上述勘查开采活动，应落实减缓生态环境影响措施，严格执行绿色勘查、开采及矿山环境生态修复相关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8.依据县级以上国土空间规划和生态保护修复专项规划开展的生态修复。</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9.根据我国相关法律法规和与邻国签署的国界管理制度协定（条约）开展的边界边境通视道清理以及界务工程的修建、维护和拆除工作。</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10.法律法规规定允许的其他人为活动。</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ind w:firstLine="482"/>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360" w:firstLineChars="20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一般生态空间：是提供生态服务或生态产品为主的区域，原则上按照限制开发区域进行管理。一般生态空间内自然保护区、风景名胜区、饮用水水源保护区等区域，依照法律法规执行。一般生态空间除法定保护地以外的评估区域，可以因地制宜发展不影响主体功能定位的适宜产业，限制进行大规模高强度工业化城镇化开发，限制有损生态服务功能和进一步加剧生态敏感性的开发建设活动。落实基本草原保护制度，实施更加严格</w:t>
            </w:r>
            <w:r>
              <w:rPr>
                <w:rFonts w:hint="eastAsia" w:ascii="宋体" w:hAnsi="宋体" w:eastAsia="宋体" w:cs="宋体"/>
                <w:b w:val="0"/>
                <w:bCs w:val="0"/>
                <w:color w:val="000000" w:themeColor="text1"/>
                <w:sz w:val="18"/>
                <w:szCs w:val="18"/>
                <w:highlight w:val="none"/>
                <w:lang w:eastAsia="zh-CN"/>
                <w14:textFill>
                  <w14:solidFill>
                    <w14:schemeClr w14:val="tx1"/>
                  </w14:solidFill>
                </w14:textFill>
              </w:rPr>
              <w:t>地</w:t>
            </w:r>
            <w:r>
              <w:rPr>
                <w:rFonts w:hint="eastAsia" w:ascii="宋体" w:hAnsi="宋体" w:eastAsia="宋体" w:cs="宋体"/>
                <w:b w:val="0"/>
                <w:bCs w:val="0"/>
                <w:color w:val="000000" w:themeColor="text1"/>
                <w:sz w:val="18"/>
                <w:szCs w:val="18"/>
                <w:highlight w:val="none"/>
                <w14:textFill>
                  <w14:solidFill>
                    <w14:schemeClr w14:val="tx1"/>
                  </w14:solidFill>
                </w14:textFill>
              </w:rPr>
              <w:t>保护和管理，确保基本草原面积不减少、质量不下降、用途不改变。落实《关于加强新时代水土保持工作的意见》要求，有关规划涉及基础设施建设、矿产资源开发、城镇建设、公共服务设施建设等内容，在实施过程中可能造成水土流失的，应提出水土流失预防和治理的对策和措施，并征求同级水行政主管部门意见。对暂不具备水土流失治理条件和因保护生态不宜开发利用的高寒高海拔冻融侵蚀、集中连片沙化土地风力侵蚀等区域，加强封育保护。</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360" w:firstLineChars="20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其他优先保护区域：优先保护类农用地、永久基本农田严格执行《中华人民共和国土壤污染防治法》《土壤污染防治行动计划》等法律法规、政策文件要求。严格控制在优先保护类耕地集中区域新建有色金属冶炼、石油加工、化工、焦化、电镀、制革等行业企业，现有相关行业企业要采用新技术、新工艺，加快提标升级改造步伐。各地要将符合条件的优先保护类耕地划为永久基本农田，实行严格保护，确保其面积不减少、土壤环境质量不下降，除法律规定的重点建设项目选址确实无法避让外，其他任何建设不得占用。在永久基本农田集中区域，不得新建可能造成土壤污染的建设项目；已经建成的，应当限期关闭拆除。按照《中华人民共和国水污染防治法》等法律法规要求，加强饮用水水源和其他特殊水体保护。优先保护岸线落实《中华人民共和国黄河保护法（2022年）》《黄河生态保护治理攻坚战行动方案》《中华人民共和国长江保护法（2020年）》《深入打好长江保护修复攻坚战行动方案》相关管控要求，国家或省级出台有关河湖岸线管理办法、规定或规划后，严格遵照执行。河道管理范围内的保护、治理、利用和管理等相关活动，落实《甘肃省河道管理条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污染物排放管控：</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360" w:firstLineChars="20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根据优先保护单元的单元属性、空间属性、环境要素特征，严格按照国家和省上相关</w:t>
            </w:r>
            <w:r>
              <w:rPr>
                <w:rFonts w:hint="eastAsia" w:ascii="宋体" w:hAnsi="宋体" w:eastAsia="宋体" w:cs="宋体"/>
                <w:b w:val="0"/>
                <w:bCs w:val="0"/>
                <w:color w:val="000000" w:themeColor="text1"/>
                <w:sz w:val="18"/>
                <w:szCs w:val="18"/>
                <w:highlight w:val="none"/>
                <w:lang w:eastAsia="zh-CN"/>
                <w14:textFill>
                  <w14:solidFill>
                    <w14:schemeClr w14:val="tx1"/>
                  </w14:solidFill>
                </w14:textFill>
              </w:rPr>
              <w:t>法律法规</w:t>
            </w:r>
            <w:r>
              <w:rPr>
                <w:rFonts w:hint="eastAsia" w:ascii="宋体" w:hAnsi="宋体" w:eastAsia="宋体" w:cs="宋体"/>
                <w:b w:val="0"/>
                <w:bCs w:val="0"/>
                <w:color w:val="000000" w:themeColor="text1"/>
                <w:sz w:val="18"/>
                <w:szCs w:val="18"/>
                <w:highlight w:val="none"/>
                <w14:textFill>
                  <w14:solidFill>
                    <w14:schemeClr w14:val="tx1"/>
                  </w14:solidFill>
                </w14:textFill>
              </w:rPr>
              <w:t>、规定等对优先保护单元内各类开发建设活动的污染物排放进行管控。</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环境风险防控：</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360" w:firstLineChars="20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根据优先保护单元的单元属性、空间属性、环境要素特征，防控优先保护单元内各类活动损害生态服务功能或加剧生态环境问题的风险。</w:t>
            </w:r>
          </w:p>
        </w:tc>
        <w:tc>
          <w:tcPr>
            <w:tcW w:w="2566" w:type="dxa"/>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《自然资源部 生态环境部 国家林业和草原局关于加强生态保护红线管理的通知（试行）》（自然资发〔2022〕142号）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《“三线一单”编制技术要求（试行）》</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《国务院办公厅关于加强草原保护修复的若干意见》（国办发〔2021〕7号）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《关于加强新时代水土保持工作的意见》</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《中华人民共和国土壤污染防治法》</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《土壤污染防治行动计划》（国发〔2016〕31号）</w:t>
            </w:r>
          </w:p>
          <w:p>
            <w:pPr>
              <w:keepNext w:val="0"/>
              <w:keepLines w:val="0"/>
              <w:pageBreakBefore w:val="0"/>
              <w:widowControl/>
              <w:kinsoku/>
              <w:wordWrap/>
              <w:overflowPunct/>
              <w:topLinePunct w:val="0"/>
              <w:autoSpaceDE/>
              <w:autoSpaceDN/>
              <w:bidi w:val="0"/>
              <w:adjustRightInd/>
              <w:snapToGrid/>
              <w:spacing w:beforeAutospacing="0" w:afterAutospacing="0" w:line="260" w:lineRule="exact"/>
              <w:ind w:firstLine="0" w:firstLineChars="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《中华人民共和国黄河保护法》（2022年）</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《黄河生态保护治理攻坚战行动方案》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《中华人民共和国长江保护法（2020年）》</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《深入打好长江保护修复攻坚战行动方案》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《甘肃省河道管理条例》（2021年修订）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369" w:type="dxa"/>
            <w:vAlign w:val="center"/>
          </w:tcPr>
          <w:p>
            <w:pPr>
              <w:pStyle w:val="2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重点管控</w:t>
            </w:r>
          </w:p>
          <w:p>
            <w:pPr>
              <w:pStyle w:val="2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单元</w:t>
            </w:r>
          </w:p>
        </w:tc>
        <w:tc>
          <w:tcPr>
            <w:tcW w:w="9731" w:type="dxa"/>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360" w:firstLineChars="20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严格执行环境影响评价制度，同步规划、建设和完善污水、垃圾集中处置等污染治理设施，工业园区（集聚区）内各企业工业废水必须经预处理达到集中处理要求，方可进入工业园区（集聚区）污水集中处理设施。加强土壤和地下水污染防治与修复，发现污染扩散的，有关责任主体要及时采取污染物隔离、阻断等环境风险管控措施。落实《关于加强高耗能、高排放建设项目生态环境源头防控的指导意见》加强规划约束、严格“两高”项目环评审批、推进“两高”行业减污降碳协同控制等要求，加强“两高”项目生态环境源头防控。严格执行《地下水管理条例》中污染防治相关要求。落实《甘肃省减污降碳协同增效实施方案》相关要求，依法实施“双超双有高耗能”企业强制性清洁生产审核。全省新建钢铁项目原则上要达到超低排放水平。新、改、扩建涉重金属重点行业建设项目遵循重金属污染物排放“等量替换”原则，在环境影响评价文件及其批复中明确重金属污染物排放总量及来源。有色金属行业、铅蓄电池制造业等涉重金属重点行业企业继续依法依规开展落后产能淘汰工作，有色金属采选冶炼、铅酸蓄电池制造、皮革、化学原料及化学制品生产、电镀等涉重金属重点行业企业生产工艺设备实施升级改造。</w:t>
            </w:r>
            <w:r>
              <w:rPr>
                <w:rFonts w:hint="eastAsia" w:ascii="宋体" w:hAnsi="宋体" w:eastAsia="宋体" w:cs="宋体"/>
                <w:b w:val="0"/>
                <w:bCs w:val="0"/>
                <w:color w:val="000000" w:themeColor="text1"/>
                <w:sz w:val="18"/>
                <w:szCs w:val="18"/>
                <w:highlight w:val="none"/>
                <w14:textFill>
                  <w14:solidFill>
                    <w14:schemeClr w14:val="tx1"/>
                  </w14:solidFill>
                </w14:textFill>
              </w:rPr>
              <w:cr/>
            </w:r>
            <w:r>
              <w:rPr>
                <w:rFonts w:hint="eastAsia" w:ascii="宋体" w:hAnsi="宋体" w:eastAsia="宋体" w:cs="宋体"/>
                <w:b w:val="0"/>
                <w:bCs w:val="0"/>
                <w:color w:val="000000" w:themeColor="text1"/>
                <w:sz w:val="18"/>
                <w:szCs w:val="18"/>
                <w:highlight w:val="none"/>
                <w14:textFill>
                  <w14:solidFill>
                    <w14:schemeClr w14:val="tx1"/>
                  </w14:solidFill>
                </w14:textFill>
              </w:rPr>
              <w:t>（2）城镇生活类重点管控单元：严格实施污染物总量控制制度，根据区域环境质量改善目标，削减污染物排放总量。全省所有县城和重点镇应具备污水收集处理能力，现有城镇污水处理设施因地制宜进行改造，确保达到相应排放标准或再生利用要求。加强噪声和臭气异味防治，强化餐饮油烟治理，严格施工扬尘监管。加强土壤和地下水污染防治与修复。运用市场手段推进危险废物处置设施项目建设，实现处置能力与危险废物产生种类和数量基本匹配。加快医疗废物处置设施升级改造，确保医疗废物安全妥善处置。对于城镇建成区内出城入园、关闭退出的工业企业用地，应严格用地准入管理，开展土壤污染治理与修复，分用途加强环境管理。严格落实《甘肃省环境保护条例》相关要求，施用农药、化肥等农业投入品及进行灌溉，应当采取措施，防止重金属和其他有毒有害物质污染环境。从事畜禽养殖和屠宰的单位和个人应当对畜禽粪便、尸体和污水等废弃物进行科学处置，防止污染环境。</w:t>
            </w:r>
          </w:p>
          <w:p>
            <w:pPr>
              <w:pStyle w:val="25"/>
              <w:keepNext w:val="0"/>
              <w:keepLines w:val="0"/>
              <w:pageBreakBefore w:val="0"/>
              <w:kinsoku/>
              <w:wordWrap/>
              <w:overflowPunct/>
              <w:topLinePunct w:val="0"/>
              <w:autoSpaceDE/>
              <w:autoSpaceDN/>
              <w:bidi w:val="0"/>
              <w:adjustRightInd/>
              <w:snapToGrid/>
              <w:spacing w:before="0" w:beforeAutospacing="0" w:after="0" w:afterAutospacing="0" w:line="300" w:lineRule="exact"/>
              <w:ind w:firstLine="360" w:firstLineChars="20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矿产资源开发活动集中区域、农用地污染风险重点管控区（农用地严格管控类和安全利用类区域）：落实《“十四五”土壤、地下水和农村生态环境保护规划》相关要求，2023年起，在矿产资源开发活动集中区域、安全利用类和严格管控类耕地集中区域，执行《铅、锌工业污染物排放标准》《铜、镍、钴工业污染物排放标准》《无机化学工业污染物排放标准》中颗粒物和镉等重点重金属特别排放限值。矿产资源开发活动集中区域落实《甘肃省矿产资源总体规划（2021—2025年）》统筹矿产资源开发与生态环境保护、强化矿山生态保护修复相关要求，推动矿产资源开发绿色低碳转型。矿山生产企业依法编制矿山资源开发与恢复治理方案，完善和落实水土环境污染修复工程措施，全面推进绿色矿山建设。</w:t>
            </w:r>
          </w:p>
          <w:p>
            <w:pPr>
              <w:pStyle w:val="25"/>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环境风险防控：</w:t>
            </w:r>
          </w:p>
          <w:p>
            <w:pPr>
              <w:pStyle w:val="25"/>
              <w:keepNext w:val="0"/>
              <w:keepLines w:val="0"/>
              <w:pageBreakBefore w:val="0"/>
              <w:kinsoku/>
              <w:wordWrap/>
              <w:overflowPunct/>
              <w:topLinePunct w:val="0"/>
              <w:autoSpaceDE/>
              <w:autoSpaceDN/>
              <w:bidi w:val="0"/>
              <w:adjustRightInd/>
              <w:snapToGrid/>
              <w:spacing w:before="0" w:beforeAutospacing="0" w:after="0" w:afterAutospacing="0" w:line="260" w:lineRule="exact"/>
              <w:ind w:firstLine="360" w:firstLineChars="20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1）各类工业园区（集聚区）：强化工业园区（集聚区）企业环境风险防范设施建设和正常运行监管，建立常态化的企业环境风险隐患排查整治机制，加强园区（集聚区）风险防控体系建设。严格落实《甘肃省环境保护条例》相关要求，企业事业单位和其他生产经营者应当定期排查环境安全隐患，开展环境风险评估，依法编制突发环境事件应急预案，报所在地生态环境主管部门和有关部门备案，并定期组织演练。</w:t>
            </w:r>
          </w:p>
          <w:p>
            <w:pPr>
              <w:pStyle w:val="25"/>
              <w:keepNext w:val="0"/>
              <w:keepLines w:val="0"/>
              <w:pageBreakBefore w:val="0"/>
              <w:kinsoku/>
              <w:wordWrap/>
              <w:overflowPunct/>
              <w:topLinePunct w:val="0"/>
              <w:autoSpaceDE/>
              <w:autoSpaceDN/>
              <w:bidi w:val="0"/>
              <w:adjustRightInd/>
              <w:snapToGrid/>
              <w:spacing w:before="0" w:beforeAutospacing="0" w:after="0" w:afterAutospacing="0" w:line="260" w:lineRule="exact"/>
              <w:ind w:firstLine="360" w:firstLineChars="20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（2）城镇生活类重点管控单元：合理布局工业、商业、居住、科教等功能区块，严格控制噪声、恶臭等污染排放较大的建设项目布局。</w:t>
            </w:r>
          </w:p>
          <w:p>
            <w:pPr>
              <w:pStyle w:val="25"/>
              <w:keepNext w:val="0"/>
              <w:keepLines w:val="0"/>
              <w:pageBreakBefore w:val="0"/>
              <w:kinsoku/>
              <w:wordWrap/>
              <w:overflowPunct/>
              <w:topLinePunct w:val="0"/>
              <w:autoSpaceDE/>
              <w:autoSpaceDN/>
              <w:bidi w:val="0"/>
              <w:adjustRightInd/>
              <w:snapToGrid/>
              <w:spacing w:before="0" w:beforeAutospacing="0" w:after="0" w:afterAutospacing="0" w:line="260" w:lineRule="exact"/>
              <w:ind w:firstLine="360" w:firstLineChars="20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以用途变更为住宅、公共管理与公共服务用地的污染地块为重点，严格落实风险管控和修复措施。受污染土壤修复后资源化利用的，不得对土壤和周边环境造成新的污染。对暂不开发的受污染建设地块，实施土壤污染风险管控，防止污染扩散。</w:t>
            </w:r>
          </w:p>
          <w:p>
            <w:pPr>
              <w:pStyle w:val="25"/>
              <w:keepNext w:val="0"/>
              <w:keepLines w:val="0"/>
              <w:pageBreakBefore w:val="0"/>
              <w:kinsoku/>
              <w:wordWrap/>
              <w:overflowPunct/>
              <w:topLinePunct w:val="0"/>
              <w:autoSpaceDE/>
              <w:autoSpaceDN/>
              <w:bidi w:val="0"/>
              <w:adjustRightInd/>
              <w:snapToGrid/>
              <w:spacing w:before="0" w:beforeAutospacing="0" w:after="0" w:afterAutospacing="0" w:line="260" w:lineRule="exact"/>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资源利用效率：</w:t>
            </w:r>
          </w:p>
          <w:p>
            <w:pPr>
              <w:pStyle w:val="9"/>
              <w:keepNext w:val="0"/>
              <w:keepLines w:val="0"/>
              <w:pageBreakBefore w:val="0"/>
              <w:numPr>
                <w:ilvl w:val="0"/>
                <w:numId w:val="1"/>
              </w:numPr>
              <w:kinsoku/>
              <w:wordWrap/>
              <w:overflowPunct/>
              <w:topLinePunct w:val="0"/>
              <w:autoSpaceDE/>
              <w:autoSpaceDN/>
              <w:bidi w:val="0"/>
              <w:adjustRightInd/>
              <w:snapToGrid/>
              <w:spacing w:beforeAutospacing="0" w:afterAutospacing="0" w:line="260" w:lineRule="exact"/>
              <w:ind w:firstLine="360" w:firstLineChars="20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落实《甘肃省“十四五”能源发展规划》《甘肃省十四五节能减排综合工作方案》提高能源资源利用效率相关要求，严格落实能耗管控制度，有效抑制石油消费增量，引导扩大天然气消费，提高农村用能效率。“十四五” 时期</w:t>
            </w:r>
            <w:r>
              <w:rPr>
                <w:rFonts w:hint="eastAsia" w:ascii="宋体" w:hAnsi="宋体" w:eastAsia="宋体" w:cs="宋体"/>
                <w:b w:val="0"/>
                <w:bCs w:val="0"/>
                <w:color w:val="000000" w:themeColor="text1"/>
                <w:sz w:val="18"/>
                <w:szCs w:val="18"/>
                <w:highlight w:val="none"/>
                <w:lang w:eastAsia="zh-CN"/>
                <w14:textFill>
                  <w14:solidFill>
                    <w14:schemeClr w14:val="tx1"/>
                  </w14:solidFill>
                </w14:textFill>
              </w:rPr>
              <w:t>，</w:t>
            </w:r>
            <w:r>
              <w:rPr>
                <w:rFonts w:hint="eastAsia" w:ascii="宋体" w:hAnsi="宋体" w:eastAsia="宋体" w:cs="宋体"/>
                <w:b w:val="0"/>
                <w:bCs w:val="0"/>
                <w:color w:val="000000" w:themeColor="text1"/>
                <w:sz w:val="18"/>
                <w:szCs w:val="18"/>
                <w:highlight w:val="none"/>
                <w14:textFill>
                  <w14:solidFill>
                    <w14:schemeClr w14:val="tx1"/>
                  </w14:solidFill>
                </w14:textFill>
              </w:rPr>
              <w:t>规模以上工业单位增加值能耗下降13.5％</w:t>
            </w:r>
            <w:r>
              <w:rPr>
                <w:rFonts w:hint="eastAsia" w:ascii="宋体" w:hAnsi="宋体" w:eastAsia="宋体" w:cs="宋体"/>
                <w:b w:val="0"/>
                <w:bCs w:val="0"/>
                <w:color w:val="000000" w:themeColor="text1"/>
                <w:sz w:val="18"/>
                <w:szCs w:val="18"/>
                <w:highlight w:val="none"/>
                <w:lang w:eastAsia="zh-CN"/>
                <w14:textFill>
                  <w14:solidFill>
                    <w14:schemeClr w14:val="tx1"/>
                  </w14:solidFill>
                </w14:textFill>
              </w:rPr>
              <w:t>，</w:t>
            </w:r>
            <w:r>
              <w:rPr>
                <w:rFonts w:hint="eastAsia" w:ascii="宋体" w:hAnsi="宋体" w:eastAsia="宋体" w:cs="宋体"/>
                <w:b w:val="0"/>
                <w:bCs w:val="0"/>
                <w:color w:val="000000" w:themeColor="text1"/>
                <w:sz w:val="18"/>
                <w:szCs w:val="18"/>
                <w:highlight w:val="none"/>
                <w14:textFill>
                  <w14:solidFill>
                    <w14:schemeClr w14:val="tx1"/>
                  </w14:solidFill>
                </w14:textFill>
              </w:rPr>
              <w:t>万元工业增加值用水量下降12.9％</w:t>
            </w:r>
            <w:r>
              <w:rPr>
                <w:rFonts w:hint="eastAsia" w:ascii="宋体" w:hAnsi="宋体" w:eastAsia="宋体" w:cs="宋体"/>
                <w:b w:val="0"/>
                <w:bCs w:val="0"/>
                <w:color w:val="000000" w:themeColor="text1"/>
                <w:sz w:val="18"/>
                <w:szCs w:val="18"/>
                <w:highlight w:val="none"/>
                <w:lang w:eastAsia="zh-CN"/>
                <w14:textFill>
                  <w14:solidFill>
                    <w14:schemeClr w14:val="tx1"/>
                  </w14:solidFill>
                </w14:textFill>
              </w:rPr>
              <w:t>。</w:t>
            </w:r>
            <w:bookmarkStart w:id="3" w:name="_GoBack"/>
            <w:bookmarkEnd w:id="3"/>
          </w:p>
          <w:p>
            <w:pPr>
              <w:pStyle w:val="9"/>
              <w:keepNext w:val="0"/>
              <w:keepLines w:val="0"/>
              <w:pageBreakBefore w:val="0"/>
              <w:numPr>
                <w:ilvl w:val="0"/>
                <w:numId w:val="1"/>
              </w:numPr>
              <w:kinsoku/>
              <w:wordWrap/>
              <w:overflowPunct/>
              <w:topLinePunct w:val="0"/>
              <w:autoSpaceDE/>
              <w:autoSpaceDN/>
              <w:bidi w:val="0"/>
              <w:adjustRightInd/>
              <w:snapToGrid/>
              <w:spacing w:beforeAutospacing="0" w:afterAutospacing="0" w:line="260" w:lineRule="exact"/>
              <w:ind w:firstLine="360" w:firstLineChars="20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落实《关于进一步加强水资源节约集约利用的意见》《甘肃省“十四五”水利发展规划》相关要求，落实最严格水资源管理制度，严格用水总量和强度双控，落实各级行政区用水效率管控指标，加强污水资源化利用。</w:t>
            </w:r>
          </w:p>
          <w:p>
            <w:pPr>
              <w:pStyle w:val="25"/>
              <w:keepNext w:val="0"/>
              <w:keepLines w:val="0"/>
              <w:pageBreakBefore w:val="0"/>
              <w:kinsoku/>
              <w:wordWrap/>
              <w:overflowPunct/>
              <w:topLinePunct w:val="0"/>
              <w:autoSpaceDE/>
              <w:autoSpaceDN/>
              <w:bidi w:val="0"/>
              <w:adjustRightInd/>
              <w:snapToGrid/>
              <w:spacing w:before="0" w:beforeAutospacing="0" w:after="0" w:afterAutospacing="0" w:line="260" w:lineRule="exact"/>
              <w:ind w:firstLine="360" w:firstLineChars="20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（3）各类工业园区（集聚区）：推进工业园区（集聚区）循环化改造，强化企业清洁生产改造。按照《关于推进污水资源化利用的指导意见》《关于进一步加强水资源节约集约利用的意见》相关要求，</w:t>
            </w:r>
            <w:r>
              <w:rPr>
                <w:rStyle w:val="32"/>
                <w:rFonts w:hint="eastAsia" w:ascii="宋体" w:hAnsi="宋体" w:eastAsia="宋体" w:cs="宋体"/>
                <w:b w:val="0"/>
                <w:bCs w:val="0"/>
                <w:color w:val="000000" w:themeColor="text1"/>
                <w:sz w:val="18"/>
                <w:szCs w:val="18"/>
                <w:highlight w:val="none"/>
                <w14:textFill>
                  <w14:solidFill>
                    <w14:schemeClr w14:val="tx1"/>
                  </w14:solidFill>
                </w14:textFill>
              </w:rPr>
              <w:t>强化工业节水，坚持以水定产，强化企业和园区集约用水，实施节水改造。</w:t>
            </w:r>
            <w:r>
              <w:rPr>
                <w:rFonts w:hint="eastAsia" w:ascii="宋体" w:hAnsi="宋体" w:eastAsia="宋体" w:cs="宋体"/>
                <w:b w:val="0"/>
                <w:bCs w:val="0"/>
                <w:color w:val="000000" w:themeColor="text1"/>
                <w:sz w:val="18"/>
                <w:szCs w:val="18"/>
                <w:highlight w:val="none"/>
                <w14:textFill>
                  <w14:solidFill>
                    <w14:schemeClr w14:val="tx1"/>
                  </w14:solidFill>
                </w14:textFill>
              </w:rPr>
              <w:t>按照《关于加强高耗能、高排放建设项目生态环境源头防控的指导意见》相关要求，提高能源利用效率，推进“两高”行业减污降碳协同控制。严格执行行业能耗标准和国家产能置换政策要求，控制钢铁、建材、化工等耗煤行业耗煤量。</w:t>
            </w:r>
          </w:p>
          <w:p>
            <w:pPr>
              <w:pStyle w:val="25"/>
              <w:keepNext w:val="0"/>
              <w:keepLines w:val="0"/>
              <w:pageBreakBefore w:val="0"/>
              <w:kinsoku/>
              <w:wordWrap/>
              <w:overflowPunct/>
              <w:topLinePunct w:val="0"/>
              <w:autoSpaceDE/>
              <w:autoSpaceDN/>
              <w:bidi w:val="0"/>
              <w:adjustRightInd/>
              <w:snapToGrid/>
              <w:spacing w:before="0" w:beforeAutospacing="0" w:after="0" w:afterAutospacing="0" w:line="260" w:lineRule="exact"/>
              <w:ind w:firstLine="360" w:firstLineChars="20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4）城镇生活类重点管控单元：按照《关于进一步加强水资源节约集约利用的意见》相关要求，坚持以水定城、以水定地、以水定人、以水定产，推行绿色生产生活方式，遏制用水浪费，从严控制高耗水服务业用水，严格用水定额管理。</w:t>
            </w:r>
          </w:p>
          <w:p>
            <w:pPr>
              <w:pStyle w:val="25"/>
              <w:keepNext w:val="0"/>
              <w:keepLines w:val="0"/>
              <w:pageBreakBefore w:val="0"/>
              <w:kinsoku/>
              <w:wordWrap/>
              <w:overflowPunct/>
              <w:topLinePunct w:val="0"/>
              <w:autoSpaceDE/>
              <w:autoSpaceDN/>
              <w:bidi w:val="0"/>
              <w:adjustRightInd/>
              <w:snapToGrid/>
              <w:spacing w:before="0" w:beforeAutospacing="0" w:after="0" w:afterAutospacing="0" w:line="260" w:lineRule="exact"/>
              <w:ind w:firstLine="360" w:firstLineChars="20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5）严格执行《地下水管理条例》中节约与保护相关要求。取用地下水的单位和个人应当遵守取水总量控制和定额管理要求，使用先进节约用水技术、工艺和设备，采取循环用水、综合利用及废水处理回用等措施，实施技术改造，降低用水消耗。</w:t>
            </w:r>
          </w:p>
          <w:p>
            <w:pPr>
              <w:pStyle w:val="25"/>
              <w:keepNext w:val="0"/>
              <w:keepLines w:val="0"/>
              <w:pageBreakBefore w:val="0"/>
              <w:kinsoku/>
              <w:wordWrap/>
              <w:overflowPunct/>
              <w:topLinePunct w:val="0"/>
              <w:autoSpaceDE/>
              <w:autoSpaceDN/>
              <w:bidi w:val="0"/>
              <w:adjustRightInd/>
              <w:snapToGrid/>
              <w:spacing w:before="0" w:beforeAutospacing="0" w:after="0" w:afterAutospacing="0" w:line="260" w:lineRule="exact"/>
              <w:ind w:firstLine="360" w:firstLineChars="20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（6）地下水开采重点管控区：严格执行《地下水管理条例》中超采治理相关要求。</w:t>
            </w:r>
          </w:p>
        </w:tc>
        <w:tc>
          <w:tcPr>
            <w:tcW w:w="2566" w:type="dxa"/>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《减污降碳协同增效实施方案》（环综合〔2022〕42号）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《国务院关于印发“十四五”节能减排综合工作方案的通知》（国发〔2021〕33号）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《国务院关于印发2030年前碳达峰行动方案的通知》（国发〔2021〕23号）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《中共中央 国务院关于完整准确全面贯彻新发展理念做好碳达峰碳中和工作的意见》</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《“十四五”土壤、地下水和农村生态环境保护规划》（环土壤〔2021〕120号）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《甘肃省人民政府关于印发甘肃省矿产资源总体规划（2021—2025年）的通知》（甘政发〔2022〕52号）</w:t>
            </w:r>
          </w:p>
          <w:p>
            <w:pPr>
              <w:keepNext w:val="0"/>
              <w:keepLines w:val="0"/>
              <w:pageBreakBefore w:val="0"/>
              <w:widowControl/>
              <w:kinsoku/>
              <w:wordWrap/>
              <w:overflowPunct/>
              <w:topLinePunct w:val="0"/>
              <w:autoSpaceDE/>
              <w:autoSpaceDN/>
              <w:bidi w:val="0"/>
              <w:adjustRightInd/>
              <w:snapToGrid/>
              <w:spacing w:beforeAutospacing="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《中华人民共和国黄河保护法》（2022年）</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《黄河生态保护治理攻坚战行动方案》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《中华人民共和国长江保护法（2020年）》</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《深入打好长江保护修复攻坚战行动方案》</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《关于加强高耗能、高排放建设项目生态环境源头防控的指导意见》（环环评〔2021〕45号）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《地下水管理条例》（2021年12月1日）</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shd w:val="clear" w:color="auto" w:fill="FFFFFF"/>
                <w14:textFill>
                  <w14:solidFill>
                    <w14:schemeClr w14:val="tx1"/>
                  </w14:solidFill>
                </w14:textFill>
              </w:rPr>
            </w:pPr>
            <w:r>
              <w:rPr>
                <w:rFonts w:hint="eastAsia" w:ascii="宋体" w:hAnsi="宋体" w:eastAsia="宋体" w:cs="宋体"/>
                <w:b w:val="0"/>
                <w:bCs w:val="0"/>
                <w:color w:val="000000" w:themeColor="text1"/>
                <w:sz w:val="18"/>
                <w:szCs w:val="18"/>
                <w:highlight w:val="none"/>
                <w:shd w:val="clear" w:color="auto" w:fill="FFFFFF"/>
                <w14:textFill>
                  <w14:solidFill>
                    <w14:schemeClr w14:val="tx1"/>
                  </w14:solidFill>
                </w14:textFill>
              </w:rPr>
              <w:t>《甘肃省人民政府办公厅关于印发甘肃省“十四五”生态环境保护规划的通知》（甘政办发〔2021〕105号）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《甘肃省环境保护条例》</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《甘肃省“十四五”能源发展规划》（甘政办发〔</w:t>
            </w:r>
            <w:r>
              <w:rPr>
                <w:rFonts w:hint="eastAsia" w:cs="宋体"/>
                <w:b w:val="0"/>
                <w:bCs w:val="0"/>
                <w:color w:val="000000" w:themeColor="text1"/>
                <w:sz w:val="18"/>
                <w:szCs w:val="18"/>
                <w:highlight w:val="none"/>
                <w:lang w:val="en-US" w:eastAsia="zh-CN"/>
                <w14:textFill>
                  <w14:solidFill>
                    <w14:schemeClr w14:val="tx1"/>
                  </w14:solidFill>
                </w14:textFill>
              </w:rPr>
              <w:t>2021</w:t>
            </w:r>
            <w:r>
              <w:rPr>
                <w:rFonts w:hint="eastAsia" w:ascii="宋体" w:hAnsi="宋体" w:eastAsia="宋体" w:cs="宋体"/>
                <w:b w:val="0"/>
                <w:bCs w:val="0"/>
                <w:color w:val="000000" w:themeColor="text1"/>
                <w:sz w:val="18"/>
                <w:szCs w:val="18"/>
                <w:highlight w:val="none"/>
                <w14:textFill>
                  <w14:solidFill>
                    <w14:schemeClr w14:val="tx1"/>
                  </w14:solidFill>
                </w14:textFill>
              </w:rPr>
              <w:t>〕</w:t>
            </w:r>
            <w:r>
              <w:rPr>
                <w:rFonts w:hint="eastAsia" w:cs="宋体"/>
                <w:b w:val="0"/>
                <w:bCs w:val="0"/>
                <w:color w:val="000000" w:themeColor="text1"/>
                <w:sz w:val="18"/>
                <w:szCs w:val="18"/>
                <w:highlight w:val="none"/>
                <w:lang w:val="en-US" w:eastAsia="zh-CN"/>
                <w14:textFill>
                  <w14:solidFill>
                    <w14:schemeClr w14:val="tx1"/>
                  </w14:solidFill>
                </w14:textFill>
              </w:rPr>
              <w:t>121</w:t>
            </w:r>
            <w:r>
              <w:rPr>
                <w:rFonts w:hint="eastAsia" w:ascii="宋体" w:hAnsi="宋体" w:eastAsia="宋体" w:cs="宋体"/>
                <w:b w:val="0"/>
                <w:bCs w:val="0"/>
                <w:color w:val="000000" w:themeColor="text1"/>
                <w:sz w:val="18"/>
                <w:szCs w:val="18"/>
                <w:highlight w:val="none"/>
                <w14:textFill>
                  <w14:solidFill>
                    <w14:schemeClr w14:val="tx1"/>
                  </w14:solidFill>
                </w14:textFill>
              </w:rPr>
              <w:t>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《甘肃省十四五节能减排综合工作方案》（甘政发〔</w:t>
            </w:r>
            <w:r>
              <w:rPr>
                <w:rFonts w:hint="eastAsia" w:cs="宋体"/>
                <w:b w:val="0"/>
                <w:bCs w:val="0"/>
                <w:color w:val="000000" w:themeColor="text1"/>
                <w:sz w:val="18"/>
                <w:szCs w:val="18"/>
                <w:highlight w:val="none"/>
                <w:lang w:val="en-US" w:eastAsia="zh-CN"/>
                <w14:textFill>
                  <w14:solidFill>
                    <w14:schemeClr w14:val="tx1"/>
                  </w14:solidFill>
                </w14:textFill>
              </w:rPr>
              <w:t>2022</w:t>
            </w:r>
            <w:r>
              <w:rPr>
                <w:rFonts w:hint="eastAsia" w:ascii="宋体" w:hAnsi="宋体" w:eastAsia="宋体" w:cs="宋体"/>
                <w:b w:val="0"/>
                <w:bCs w:val="0"/>
                <w:color w:val="000000" w:themeColor="text1"/>
                <w:sz w:val="18"/>
                <w:szCs w:val="18"/>
                <w:highlight w:val="none"/>
                <w14:textFill>
                  <w14:solidFill>
                    <w14:schemeClr w14:val="tx1"/>
                  </w14:solidFill>
                </w14:textFill>
              </w:rPr>
              <w:t>〕</w:t>
            </w:r>
            <w:r>
              <w:rPr>
                <w:rFonts w:hint="eastAsia" w:cs="宋体"/>
                <w:b w:val="0"/>
                <w:bCs w:val="0"/>
                <w:color w:val="000000" w:themeColor="text1"/>
                <w:sz w:val="18"/>
                <w:szCs w:val="18"/>
                <w:highlight w:val="none"/>
                <w:lang w:val="en-US" w:eastAsia="zh-CN"/>
                <w14:textFill>
                  <w14:solidFill>
                    <w14:schemeClr w14:val="tx1"/>
                  </w14:solidFill>
                </w14:textFill>
              </w:rPr>
              <w:t>41</w:t>
            </w:r>
            <w:r>
              <w:rPr>
                <w:rFonts w:hint="eastAsia" w:ascii="宋体" w:hAnsi="宋体" w:eastAsia="宋体" w:cs="宋体"/>
                <w:b w:val="0"/>
                <w:bCs w:val="0"/>
                <w:color w:val="000000" w:themeColor="text1"/>
                <w:sz w:val="18"/>
                <w:szCs w:val="18"/>
                <w:highlight w:val="none"/>
                <w14:textFill>
                  <w14:solidFill>
                    <w14:schemeClr w14:val="tx1"/>
                  </w14:solidFill>
                </w14:textFill>
              </w:rPr>
              <w:t>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《甘肃省减污降碳协同增效实施方案》（甘环发〔2023〕19号）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《关于进一步加强水资源节约集约利用的意见》（发改环资〔2023〕1193号）</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《甘肃省人民政府办公厅关于印发甘肃省“十四五”水利发展规划的通知》（甘政办发〔2021〕122号）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9" w:type="dxa"/>
            <w:vAlign w:val="center"/>
          </w:tcPr>
          <w:p>
            <w:pPr>
              <w:pStyle w:val="2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一般管控</w:t>
            </w:r>
          </w:p>
          <w:p>
            <w:pPr>
              <w:pStyle w:val="25"/>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单元</w:t>
            </w:r>
          </w:p>
        </w:tc>
        <w:tc>
          <w:tcPr>
            <w:tcW w:w="9731" w:type="dxa"/>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空间布局约束：</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360" w:firstLineChars="20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落实生态环境保护基本要求。大力发展生态环保产业。严格执行畜禽养殖禁养区规定，根据区域用地和消纳水平，合理确定养殖规模。加强永久基本农田保护，严格限制非农项目占用耕地。</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污染物排放管控：</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360" w:firstLineChars="20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落实污染物总量控制制度，根据区域环境质量改善目标，削减污染物排放总量。加强生活污染和农业面源污染治理，严格控制化肥农药施加量，合理水产养殖布局，控制水产养殖污染，逐步削减农业面源污染物排放量。</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环境风险防控：</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360" w:firstLineChars="20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加强生态公益林保护与建设，防止水土流失。禁止向农用地排放重金属或者其他有毒有害物质含量超标的污水、污泥，以及可能造成土壤污染的清淤底泥、尾矿、矿渣等。</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资源利用效率：</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360" w:firstLineChars="200"/>
              <w:jc w:val="both"/>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实行煤炭、水资源消耗总量和强度双控，优化能源结构，加强能源清洁利用。推进农业节水，提高农业用水效率。</w:t>
            </w:r>
          </w:p>
        </w:tc>
        <w:tc>
          <w:tcPr>
            <w:tcW w:w="2566" w:type="dxa"/>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0" w:firstLineChars="0"/>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shd w:val="clear" w:color="auto" w:fill="FFFFFF"/>
                <w14:textFill>
                  <w14:solidFill>
                    <w14:schemeClr w14:val="tx1"/>
                  </w14:solidFill>
                </w14:textFill>
              </w:rPr>
              <w:t>《甘肃省人民政府办公厅关于印发甘肃省“十四五”生态环境保护规划的通知》（甘政办发〔2021〕105号）</w:t>
            </w:r>
          </w:p>
        </w:tc>
      </w:tr>
    </w:tbl>
    <w:p>
      <w:pPr>
        <w:pStyle w:val="40"/>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bookmarkStart w:id="2" w:name="_Toc5509"/>
    </w:p>
    <w:p>
      <w:pPr>
        <w:pStyle w:val="40"/>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区域（流域）生态环境准入清单</w:t>
      </w:r>
      <w:bookmarkEnd w:id="2"/>
    </w:p>
    <w:tbl>
      <w:tblPr>
        <w:tblStyle w:val="29"/>
        <w:tblW w:w="496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897"/>
        <w:gridCol w:w="1459"/>
        <w:gridCol w:w="950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blHeader/>
          <w:jc w:val="center"/>
        </w:trPr>
        <w:tc>
          <w:tcPr>
            <w:tcW w:w="252" w:type="pct"/>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流域</w:t>
            </w:r>
          </w:p>
        </w:tc>
        <w:tc>
          <w:tcPr>
            <w:tcW w:w="318" w:type="pct"/>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片区名称</w:t>
            </w:r>
          </w:p>
        </w:tc>
        <w:tc>
          <w:tcPr>
            <w:tcW w:w="517" w:type="pct"/>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市（州）及区（县）</w:t>
            </w:r>
          </w:p>
        </w:tc>
        <w:tc>
          <w:tcPr>
            <w:tcW w:w="3367" w:type="pct"/>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管控要求</w:t>
            </w:r>
          </w:p>
        </w:tc>
        <w:tc>
          <w:tcPr>
            <w:tcW w:w="545" w:type="pct"/>
            <w:vAlign w:val="center"/>
          </w:tcPr>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0" w:hRule="atLeast"/>
          <w:jc w:val="center"/>
        </w:trPr>
        <w:tc>
          <w:tcPr>
            <w:tcW w:w="25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内陆河流域</w:t>
            </w:r>
          </w:p>
        </w:tc>
        <w:tc>
          <w:tcPr>
            <w:tcW w:w="3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祁连山内陆河片区</w:t>
            </w:r>
          </w:p>
        </w:tc>
        <w:tc>
          <w:tcPr>
            <w:tcW w:w="517"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酒泉、嘉峪关、张掖、金昌、武威（除天祝县、古浪县的干城镇和新堡镇）</w:t>
            </w:r>
          </w:p>
        </w:tc>
        <w:tc>
          <w:tcPr>
            <w:tcW w:w="3367" w:type="pct"/>
            <w:vAlign w:val="center"/>
          </w:tcPr>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空间布局约束：</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落实《甘肃省国民经济和社会发展第十四个五年规划和二〇三五年远景目标纲要》持续推动祁连山生态保护与治理相关要求，增强祁连山水源涵养功能，全面改善祁连山生态，对祁连山核心区采取自然休养、减畜禁牧等措施。严控水电开发。祁连山自然保护区内的活动应严格执行《中华人民共和国自然保护区管理条例</w:t>
            </w:r>
            <w:r>
              <w:rPr>
                <w:rFonts w:hint="eastAsia" w:ascii="宋体" w:hAnsi="宋体" w:eastAsia="宋体" w:cs="宋体"/>
                <w:b w:val="0"/>
                <w:bCs w:val="0"/>
                <w:color w:val="000000" w:themeColor="text1"/>
                <w:kern w:val="0"/>
                <w:sz w:val="18"/>
                <w:szCs w:val="18"/>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18"/>
                <w:szCs w:val="18"/>
                <w:highlight w:val="none"/>
                <w14:textFill>
                  <w14:solidFill>
                    <w14:schemeClr w14:val="tx1"/>
                  </w14:solidFill>
                </w14:textFill>
              </w:rPr>
              <w:t>甘肃省自然保护区管理条例</w:t>
            </w:r>
            <w:r>
              <w:rPr>
                <w:rFonts w:hint="eastAsia" w:ascii="宋体" w:hAnsi="宋体" w:eastAsia="宋体" w:cs="宋体"/>
                <w:b w:val="0"/>
                <w:bCs w:val="0"/>
                <w:color w:val="000000" w:themeColor="text1"/>
                <w:kern w:val="0"/>
                <w:sz w:val="18"/>
                <w:szCs w:val="18"/>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18"/>
                <w:szCs w:val="18"/>
                <w:highlight w:val="none"/>
                <w14:textFill>
                  <w14:solidFill>
                    <w14:schemeClr w14:val="tx1"/>
                  </w14:solidFill>
                </w14:textFill>
              </w:rPr>
              <w:t>甘肃祁连山国家级自然保护区管理条例》的相关要求。祁连山国家公园属特定的地理空间，其管控等级高于自然保护区，在祁连山国家公园内从事开发建设活动须严格执行《祁连山国家公园产业准入清单》（2020 年版）《国家公园管理暂行办法》《祁连山国家公园建设项目监督管理暂行办法》，清单以外的禁止建设。</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污染物排放管控：</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落实《甘肃省国民经济和社会发展第十四个五年规划和二〇三五年远景目标纲要》持续推动祁连山生态保护与治理相关要求，开展祁连山及沿山地区山水林田湖草沙综合治理，强化祁连山矿山生态修复治理，加快推进黑河、疏勒河、石羊河等重点流域生态治理与修复。</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环境风险防控：</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有效防范化工产业发展对区域地下水、地表水、生态环境的环境风险。按照《关于进一步加强产业园区规划环境影响评价工作的意见》《甘肃省开发区化工产业环境保护与污染防治工作指导意见》《关于加强高耗能、高排放建设项目生态环境源头防控的指导意见》《关于进一步加强环境影响评价管理防范环境风险的通知》《关于切实加强风险防范严格环境影响评价管理的通知》等要求，切实加强环境风险防控。</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资源利用效率：</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石羊河流域落实《甘肃省石羊河流域水资源管理条例（2023修订）》节约利用等相关要求。</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按照《</w:t>
            </w:r>
            <w:r>
              <w:rPr>
                <w:rFonts w:hint="eastAsia" w:ascii="宋体" w:hAnsi="宋体" w:eastAsia="宋体" w:cs="宋体"/>
                <w:b w:val="0"/>
                <w:bCs w:val="0"/>
                <w:color w:val="000000" w:themeColor="text1"/>
                <w:sz w:val="18"/>
                <w:szCs w:val="18"/>
                <w:highlight w:val="none"/>
                <w14:textFill>
                  <w14:solidFill>
                    <w14:schemeClr w14:val="tx1"/>
                  </w14:solidFill>
                </w14:textFill>
              </w:rPr>
              <w:t>甘肃省“十四五”水利发展规划》总体布局及落实最严格水资源管理制度要求，</w:t>
            </w:r>
            <w:r>
              <w:rPr>
                <w:rFonts w:hint="eastAsia" w:ascii="宋体" w:hAnsi="宋体" w:eastAsia="宋体" w:cs="宋体"/>
                <w:b w:val="0"/>
                <w:bCs w:val="0"/>
                <w:color w:val="000000" w:themeColor="text1"/>
                <w:kern w:val="0"/>
                <w:sz w:val="18"/>
                <w:szCs w:val="18"/>
                <w:highlight w:val="none"/>
                <w14:textFill>
                  <w14:solidFill>
                    <w14:schemeClr w14:val="tx1"/>
                  </w14:solidFill>
                </w14:textFill>
              </w:rPr>
              <w:t>在河西内陆河流域，加大节水控水力度，有效降低开发利用程度。</w:t>
            </w:r>
            <w:r>
              <w:rPr>
                <w:rFonts w:hint="eastAsia" w:ascii="宋体" w:hAnsi="宋体" w:eastAsia="宋体" w:cs="宋体"/>
                <w:b w:val="0"/>
                <w:bCs w:val="0"/>
                <w:color w:val="000000" w:themeColor="text1"/>
                <w:sz w:val="18"/>
                <w:szCs w:val="18"/>
                <w:highlight w:val="none"/>
                <w14:textFill>
                  <w14:solidFill>
                    <w14:schemeClr w14:val="tx1"/>
                  </w14:solidFill>
                </w14:textFill>
              </w:rPr>
              <w:t>重点加强水生态空间管控和水资源消耗总量、强度双控，降低水资源开发利用程度，增加河道生态用水。加大农业节水力度，建设国家高效节水示范区。加强祁连山水源涵养与保护，推进石羊河、黑河流域和敦煌水资源保护及综合治理，修复水生态环境，构筑河西内陆河生态安全屏障。</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加强河西走廊内陆河区地下水超采治理，维持合理的地下水水位。</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c>
          <w:tcPr>
            <w:tcW w:w="545" w:type="pct"/>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《甘肃省人民政府关于印发甘肃省国民经济和社会发展第十四个五年规划和二〇三五年远景目标纲要的通知》（甘政发〔2021〕18号）</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《祁连山国家公园建设项目监督管理暂行办法》</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《国家公园管理暂行办法》（林保发〔2022〕64号）</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14:textFill>
                  <w14:solidFill>
                    <w14:schemeClr w14:val="tx1"/>
                  </w14:solidFill>
                </w14:textFill>
              </w:rPr>
              <w:t>《甘肃省石羊河流域水资源管理条例（2007通过）（2023修订）》</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color w:val="000000" w:themeColor="text1"/>
                <w:kern w:val="0"/>
                <w:sz w:val="18"/>
                <w:szCs w:val="1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《甘肃省人民政府办公厅关于印发甘肃省“十四五”水利发展规划的通知》（甘政办发〔2021〕122号）</w:t>
            </w:r>
          </w:p>
        </w:tc>
      </w:tr>
      <w:bookmarkEnd w:id="1"/>
    </w:tbl>
    <w:p>
      <w:pPr>
        <w:tabs>
          <w:tab w:val="left" w:pos="50"/>
        </w:tabs>
        <w:rPr>
          <w:rFonts w:ascii="Times New Roman" w:hAnsi="Times New Roman" w:eastAsia="仿宋" w:cs="Times New Roman"/>
          <w:color w:val="000000" w:themeColor="text1"/>
          <w:szCs w:val="21"/>
          <w:highlight w:val="none"/>
          <w14:textFill>
            <w14:solidFill>
              <w14:schemeClr w14:val="tx1"/>
            </w14:solidFill>
          </w14:textFill>
        </w:rPr>
      </w:pPr>
    </w:p>
    <w:sectPr>
      <w:pgSz w:w="16840" w:h="11850" w:orient="landscape"/>
      <w:pgMar w:top="1134" w:right="850" w:bottom="1134" w:left="1984" w:header="851" w:footer="850" w:gutter="0"/>
      <w:pgNumType w:fmt="numberInDash" w:start="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
    <w:altName w:val="仿宋"/>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DBD4D"/>
    <w:multiLevelType w:val="singleLevel"/>
    <w:tmpl w:val="420DBD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ODU2ZjQ2ZTA1ZDU2MGEyYjI4OGEwMDFhNTg3ZTcifQ=="/>
  </w:docVars>
  <w:rsids>
    <w:rsidRoot w:val="00B3142E"/>
    <w:rsid w:val="00003292"/>
    <w:rsid w:val="00006704"/>
    <w:rsid w:val="00006EFB"/>
    <w:rsid w:val="00016A3E"/>
    <w:rsid w:val="00025722"/>
    <w:rsid w:val="00027838"/>
    <w:rsid w:val="00034E67"/>
    <w:rsid w:val="00035C33"/>
    <w:rsid w:val="00037362"/>
    <w:rsid w:val="00042995"/>
    <w:rsid w:val="00044BC8"/>
    <w:rsid w:val="000519F8"/>
    <w:rsid w:val="00052B89"/>
    <w:rsid w:val="00065238"/>
    <w:rsid w:val="00066B56"/>
    <w:rsid w:val="00070CEC"/>
    <w:rsid w:val="000775FC"/>
    <w:rsid w:val="00080580"/>
    <w:rsid w:val="00081171"/>
    <w:rsid w:val="00082880"/>
    <w:rsid w:val="00084987"/>
    <w:rsid w:val="00085D85"/>
    <w:rsid w:val="000A0EC2"/>
    <w:rsid w:val="000A4464"/>
    <w:rsid w:val="000A6C30"/>
    <w:rsid w:val="000B21C0"/>
    <w:rsid w:val="000B487C"/>
    <w:rsid w:val="000B6CB1"/>
    <w:rsid w:val="000B73F0"/>
    <w:rsid w:val="000B7C14"/>
    <w:rsid w:val="000C0547"/>
    <w:rsid w:val="000C1523"/>
    <w:rsid w:val="000C2F9C"/>
    <w:rsid w:val="000C48F8"/>
    <w:rsid w:val="000C6FDE"/>
    <w:rsid w:val="000E3170"/>
    <w:rsid w:val="000E65A5"/>
    <w:rsid w:val="000F0520"/>
    <w:rsid w:val="000F1A21"/>
    <w:rsid w:val="000F3719"/>
    <w:rsid w:val="000F6500"/>
    <w:rsid w:val="000F7CBE"/>
    <w:rsid w:val="00101B29"/>
    <w:rsid w:val="001043DF"/>
    <w:rsid w:val="001061C4"/>
    <w:rsid w:val="00114094"/>
    <w:rsid w:val="0011525A"/>
    <w:rsid w:val="00125907"/>
    <w:rsid w:val="0013118F"/>
    <w:rsid w:val="00133F43"/>
    <w:rsid w:val="00134AA8"/>
    <w:rsid w:val="00136E7C"/>
    <w:rsid w:val="001471A9"/>
    <w:rsid w:val="00154812"/>
    <w:rsid w:val="0016416D"/>
    <w:rsid w:val="00167D1A"/>
    <w:rsid w:val="00171405"/>
    <w:rsid w:val="001719D8"/>
    <w:rsid w:val="001727D9"/>
    <w:rsid w:val="0018126D"/>
    <w:rsid w:val="00181B5F"/>
    <w:rsid w:val="00195761"/>
    <w:rsid w:val="001A1C40"/>
    <w:rsid w:val="001B338E"/>
    <w:rsid w:val="001B3874"/>
    <w:rsid w:val="001B6F81"/>
    <w:rsid w:val="001C175A"/>
    <w:rsid w:val="001C2051"/>
    <w:rsid w:val="001C3674"/>
    <w:rsid w:val="001C77D1"/>
    <w:rsid w:val="001D42F2"/>
    <w:rsid w:val="001D5CC2"/>
    <w:rsid w:val="001E03C7"/>
    <w:rsid w:val="001E20FE"/>
    <w:rsid w:val="001E4623"/>
    <w:rsid w:val="001E7A4D"/>
    <w:rsid w:val="001F47D5"/>
    <w:rsid w:val="00204D75"/>
    <w:rsid w:val="00217EB3"/>
    <w:rsid w:val="002217EA"/>
    <w:rsid w:val="00230AAC"/>
    <w:rsid w:val="002318D0"/>
    <w:rsid w:val="00242CBE"/>
    <w:rsid w:val="00251D20"/>
    <w:rsid w:val="00255CE3"/>
    <w:rsid w:val="00255EC1"/>
    <w:rsid w:val="00260E75"/>
    <w:rsid w:val="002674A8"/>
    <w:rsid w:val="002701C3"/>
    <w:rsid w:val="00275E33"/>
    <w:rsid w:val="002824B7"/>
    <w:rsid w:val="00282682"/>
    <w:rsid w:val="002869EC"/>
    <w:rsid w:val="00290812"/>
    <w:rsid w:val="00297F70"/>
    <w:rsid w:val="002A3ADF"/>
    <w:rsid w:val="002A696C"/>
    <w:rsid w:val="002A69BA"/>
    <w:rsid w:val="002A777A"/>
    <w:rsid w:val="002B0B6F"/>
    <w:rsid w:val="002B20EE"/>
    <w:rsid w:val="002C243B"/>
    <w:rsid w:val="002D11E9"/>
    <w:rsid w:val="002D6229"/>
    <w:rsid w:val="002E131A"/>
    <w:rsid w:val="002E1A5A"/>
    <w:rsid w:val="002F1BD0"/>
    <w:rsid w:val="002F488A"/>
    <w:rsid w:val="002F5063"/>
    <w:rsid w:val="002F6812"/>
    <w:rsid w:val="00306464"/>
    <w:rsid w:val="003107E9"/>
    <w:rsid w:val="0031123B"/>
    <w:rsid w:val="0031694B"/>
    <w:rsid w:val="00316BB0"/>
    <w:rsid w:val="00320F17"/>
    <w:rsid w:val="003256D0"/>
    <w:rsid w:val="00332063"/>
    <w:rsid w:val="0033245D"/>
    <w:rsid w:val="00356360"/>
    <w:rsid w:val="00364568"/>
    <w:rsid w:val="003718D6"/>
    <w:rsid w:val="00380841"/>
    <w:rsid w:val="003825D0"/>
    <w:rsid w:val="00382954"/>
    <w:rsid w:val="00382D0A"/>
    <w:rsid w:val="00390044"/>
    <w:rsid w:val="00394E19"/>
    <w:rsid w:val="00397015"/>
    <w:rsid w:val="003A41CE"/>
    <w:rsid w:val="003A5B75"/>
    <w:rsid w:val="003A6FA6"/>
    <w:rsid w:val="003C245A"/>
    <w:rsid w:val="003C4516"/>
    <w:rsid w:val="003D0202"/>
    <w:rsid w:val="003D09FC"/>
    <w:rsid w:val="003D120E"/>
    <w:rsid w:val="003D13A9"/>
    <w:rsid w:val="003D353D"/>
    <w:rsid w:val="003D649D"/>
    <w:rsid w:val="003E225C"/>
    <w:rsid w:val="003E456A"/>
    <w:rsid w:val="003E6A35"/>
    <w:rsid w:val="003E71C5"/>
    <w:rsid w:val="003F46A4"/>
    <w:rsid w:val="00404440"/>
    <w:rsid w:val="004067D6"/>
    <w:rsid w:val="00412ACA"/>
    <w:rsid w:val="00415FB0"/>
    <w:rsid w:val="00416DDC"/>
    <w:rsid w:val="00417598"/>
    <w:rsid w:val="00437747"/>
    <w:rsid w:val="0045306D"/>
    <w:rsid w:val="00453396"/>
    <w:rsid w:val="00455714"/>
    <w:rsid w:val="00461471"/>
    <w:rsid w:val="0046577A"/>
    <w:rsid w:val="0046779B"/>
    <w:rsid w:val="00470A99"/>
    <w:rsid w:val="00472277"/>
    <w:rsid w:val="00473CF4"/>
    <w:rsid w:val="00484B73"/>
    <w:rsid w:val="00490A4A"/>
    <w:rsid w:val="00495033"/>
    <w:rsid w:val="004956DE"/>
    <w:rsid w:val="004974A4"/>
    <w:rsid w:val="00497827"/>
    <w:rsid w:val="004A1950"/>
    <w:rsid w:val="004A2F29"/>
    <w:rsid w:val="004A415A"/>
    <w:rsid w:val="004A42B7"/>
    <w:rsid w:val="004A7724"/>
    <w:rsid w:val="004B2147"/>
    <w:rsid w:val="004B4234"/>
    <w:rsid w:val="004B546D"/>
    <w:rsid w:val="004B648A"/>
    <w:rsid w:val="004B797E"/>
    <w:rsid w:val="004C072A"/>
    <w:rsid w:val="004C3845"/>
    <w:rsid w:val="004D3F57"/>
    <w:rsid w:val="004E08E8"/>
    <w:rsid w:val="004E2BCA"/>
    <w:rsid w:val="004E56C7"/>
    <w:rsid w:val="004E626D"/>
    <w:rsid w:val="004F29D8"/>
    <w:rsid w:val="004F3BBE"/>
    <w:rsid w:val="00502D0F"/>
    <w:rsid w:val="00505981"/>
    <w:rsid w:val="005111BE"/>
    <w:rsid w:val="00511512"/>
    <w:rsid w:val="00514BB6"/>
    <w:rsid w:val="005165C4"/>
    <w:rsid w:val="00522079"/>
    <w:rsid w:val="0052437C"/>
    <w:rsid w:val="00526BD5"/>
    <w:rsid w:val="00526C48"/>
    <w:rsid w:val="00534496"/>
    <w:rsid w:val="0053765B"/>
    <w:rsid w:val="005442C0"/>
    <w:rsid w:val="00567A72"/>
    <w:rsid w:val="00573378"/>
    <w:rsid w:val="00582F1B"/>
    <w:rsid w:val="0058659A"/>
    <w:rsid w:val="00587CCF"/>
    <w:rsid w:val="00591166"/>
    <w:rsid w:val="00591555"/>
    <w:rsid w:val="00593069"/>
    <w:rsid w:val="005949E9"/>
    <w:rsid w:val="005A3E66"/>
    <w:rsid w:val="005B170E"/>
    <w:rsid w:val="005B1CDC"/>
    <w:rsid w:val="005B3F5D"/>
    <w:rsid w:val="005D42E1"/>
    <w:rsid w:val="005D6122"/>
    <w:rsid w:val="005E4EDA"/>
    <w:rsid w:val="005E55BC"/>
    <w:rsid w:val="005F0845"/>
    <w:rsid w:val="005F0B90"/>
    <w:rsid w:val="005F4E47"/>
    <w:rsid w:val="005F6A3C"/>
    <w:rsid w:val="005F71E7"/>
    <w:rsid w:val="0060123C"/>
    <w:rsid w:val="00602E0C"/>
    <w:rsid w:val="0060574B"/>
    <w:rsid w:val="00615179"/>
    <w:rsid w:val="00622F81"/>
    <w:rsid w:val="006326F1"/>
    <w:rsid w:val="00632F40"/>
    <w:rsid w:val="006359A0"/>
    <w:rsid w:val="00642395"/>
    <w:rsid w:val="00643E32"/>
    <w:rsid w:val="006445ED"/>
    <w:rsid w:val="00644820"/>
    <w:rsid w:val="00650314"/>
    <w:rsid w:val="006530C6"/>
    <w:rsid w:val="00661541"/>
    <w:rsid w:val="00662534"/>
    <w:rsid w:val="0066640E"/>
    <w:rsid w:val="00676500"/>
    <w:rsid w:val="006820BD"/>
    <w:rsid w:val="00694295"/>
    <w:rsid w:val="0069442B"/>
    <w:rsid w:val="006948CC"/>
    <w:rsid w:val="006A0070"/>
    <w:rsid w:val="006A1DF8"/>
    <w:rsid w:val="006A4B85"/>
    <w:rsid w:val="006A4E97"/>
    <w:rsid w:val="006B1841"/>
    <w:rsid w:val="006B1C26"/>
    <w:rsid w:val="006B23E7"/>
    <w:rsid w:val="006B3FCC"/>
    <w:rsid w:val="006B4397"/>
    <w:rsid w:val="006B5311"/>
    <w:rsid w:val="006B69C9"/>
    <w:rsid w:val="006B6C3C"/>
    <w:rsid w:val="006C310E"/>
    <w:rsid w:val="006D5E7E"/>
    <w:rsid w:val="006D6F6A"/>
    <w:rsid w:val="006E527F"/>
    <w:rsid w:val="006F0815"/>
    <w:rsid w:val="006F419F"/>
    <w:rsid w:val="006F4CB8"/>
    <w:rsid w:val="006F7945"/>
    <w:rsid w:val="00701132"/>
    <w:rsid w:val="00706F17"/>
    <w:rsid w:val="00711BD4"/>
    <w:rsid w:val="00717E6B"/>
    <w:rsid w:val="00725BA2"/>
    <w:rsid w:val="00741039"/>
    <w:rsid w:val="007439BF"/>
    <w:rsid w:val="007463F6"/>
    <w:rsid w:val="00755E3E"/>
    <w:rsid w:val="00756299"/>
    <w:rsid w:val="00756967"/>
    <w:rsid w:val="00761183"/>
    <w:rsid w:val="00764C4C"/>
    <w:rsid w:val="007655B2"/>
    <w:rsid w:val="007660AA"/>
    <w:rsid w:val="00766594"/>
    <w:rsid w:val="00766F62"/>
    <w:rsid w:val="00770CCC"/>
    <w:rsid w:val="007830A9"/>
    <w:rsid w:val="007837EE"/>
    <w:rsid w:val="00796DA6"/>
    <w:rsid w:val="007A0BBE"/>
    <w:rsid w:val="007A24B3"/>
    <w:rsid w:val="007A5246"/>
    <w:rsid w:val="007A5F87"/>
    <w:rsid w:val="007B21AD"/>
    <w:rsid w:val="007B24DF"/>
    <w:rsid w:val="007C6F47"/>
    <w:rsid w:val="007F0186"/>
    <w:rsid w:val="007F27E6"/>
    <w:rsid w:val="007F4564"/>
    <w:rsid w:val="00801227"/>
    <w:rsid w:val="008026DE"/>
    <w:rsid w:val="00812667"/>
    <w:rsid w:val="00820AE5"/>
    <w:rsid w:val="00820BAD"/>
    <w:rsid w:val="00821111"/>
    <w:rsid w:val="0082206E"/>
    <w:rsid w:val="00823487"/>
    <w:rsid w:val="008276B3"/>
    <w:rsid w:val="0083524B"/>
    <w:rsid w:val="00847393"/>
    <w:rsid w:val="00847760"/>
    <w:rsid w:val="008519AF"/>
    <w:rsid w:val="00874736"/>
    <w:rsid w:val="008758A1"/>
    <w:rsid w:val="008762E1"/>
    <w:rsid w:val="00885E7D"/>
    <w:rsid w:val="00897209"/>
    <w:rsid w:val="008A083C"/>
    <w:rsid w:val="008A14E1"/>
    <w:rsid w:val="008A32BB"/>
    <w:rsid w:val="008B0B09"/>
    <w:rsid w:val="008B1B14"/>
    <w:rsid w:val="008B1DD2"/>
    <w:rsid w:val="008B737A"/>
    <w:rsid w:val="008C04FC"/>
    <w:rsid w:val="008C3A6E"/>
    <w:rsid w:val="008D24C7"/>
    <w:rsid w:val="008D305D"/>
    <w:rsid w:val="008D5CB2"/>
    <w:rsid w:val="008E3D04"/>
    <w:rsid w:val="008E69CB"/>
    <w:rsid w:val="008F3CB6"/>
    <w:rsid w:val="0090177D"/>
    <w:rsid w:val="00901F9F"/>
    <w:rsid w:val="00902142"/>
    <w:rsid w:val="009036C8"/>
    <w:rsid w:val="00926CD0"/>
    <w:rsid w:val="00927946"/>
    <w:rsid w:val="0094400F"/>
    <w:rsid w:val="00954FE2"/>
    <w:rsid w:val="00963FAA"/>
    <w:rsid w:val="009704DE"/>
    <w:rsid w:val="009710AA"/>
    <w:rsid w:val="00971E1B"/>
    <w:rsid w:val="00977EAF"/>
    <w:rsid w:val="009A52AF"/>
    <w:rsid w:val="009C10C4"/>
    <w:rsid w:val="009C7F86"/>
    <w:rsid w:val="009D2E6E"/>
    <w:rsid w:val="009D3C6A"/>
    <w:rsid w:val="009D523B"/>
    <w:rsid w:val="009D53AA"/>
    <w:rsid w:val="009D578A"/>
    <w:rsid w:val="009E04F1"/>
    <w:rsid w:val="009E4D83"/>
    <w:rsid w:val="009E6545"/>
    <w:rsid w:val="009F2635"/>
    <w:rsid w:val="00A04182"/>
    <w:rsid w:val="00A1462F"/>
    <w:rsid w:val="00A204C1"/>
    <w:rsid w:val="00A258C0"/>
    <w:rsid w:val="00A26E7B"/>
    <w:rsid w:val="00A26F71"/>
    <w:rsid w:val="00A375FC"/>
    <w:rsid w:val="00A40B42"/>
    <w:rsid w:val="00A40D24"/>
    <w:rsid w:val="00A46ECF"/>
    <w:rsid w:val="00A627B1"/>
    <w:rsid w:val="00A640E9"/>
    <w:rsid w:val="00A66FED"/>
    <w:rsid w:val="00A70A3E"/>
    <w:rsid w:val="00A70D46"/>
    <w:rsid w:val="00A76C29"/>
    <w:rsid w:val="00A81665"/>
    <w:rsid w:val="00A82399"/>
    <w:rsid w:val="00A82B72"/>
    <w:rsid w:val="00A84ACC"/>
    <w:rsid w:val="00A936EF"/>
    <w:rsid w:val="00A97C4A"/>
    <w:rsid w:val="00AB2E85"/>
    <w:rsid w:val="00AB4F12"/>
    <w:rsid w:val="00AD33F5"/>
    <w:rsid w:val="00AD34D3"/>
    <w:rsid w:val="00AD3F1B"/>
    <w:rsid w:val="00AD7297"/>
    <w:rsid w:val="00AE45A6"/>
    <w:rsid w:val="00AE7714"/>
    <w:rsid w:val="00AF16EA"/>
    <w:rsid w:val="00AF1BCA"/>
    <w:rsid w:val="00AF3B1E"/>
    <w:rsid w:val="00AF7AF5"/>
    <w:rsid w:val="00B000C5"/>
    <w:rsid w:val="00B012E0"/>
    <w:rsid w:val="00B10E8B"/>
    <w:rsid w:val="00B12A89"/>
    <w:rsid w:val="00B1604D"/>
    <w:rsid w:val="00B3142E"/>
    <w:rsid w:val="00B33A7F"/>
    <w:rsid w:val="00B35B99"/>
    <w:rsid w:val="00B37FCF"/>
    <w:rsid w:val="00B44DA5"/>
    <w:rsid w:val="00B44FEC"/>
    <w:rsid w:val="00B4637D"/>
    <w:rsid w:val="00B46574"/>
    <w:rsid w:val="00B46AA2"/>
    <w:rsid w:val="00B61299"/>
    <w:rsid w:val="00B6531D"/>
    <w:rsid w:val="00B7533D"/>
    <w:rsid w:val="00B848FD"/>
    <w:rsid w:val="00B84CB9"/>
    <w:rsid w:val="00B85576"/>
    <w:rsid w:val="00B9403C"/>
    <w:rsid w:val="00B9700F"/>
    <w:rsid w:val="00BA4C97"/>
    <w:rsid w:val="00BA7818"/>
    <w:rsid w:val="00BB14E5"/>
    <w:rsid w:val="00BB2C24"/>
    <w:rsid w:val="00BB7D88"/>
    <w:rsid w:val="00BC1E11"/>
    <w:rsid w:val="00BC3664"/>
    <w:rsid w:val="00BC4E0A"/>
    <w:rsid w:val="00BC7DE8"/>
    <w:rsid w:val="00BC7EB7"/>
    <w:rsid w:val="00BD03DE"/>
    <w:rsid w:val="00BD055D"/>
    <w:rsid w:val="00BD108F"/>
    <w:rsid w:val="00BD21A4"/>
    <w:rsid w:val="00BD49E6"/>
    <w:rsid w:val="00BD537C"/>
    <w:rsid w:val="00BD6C8E"/>
    <w:rsid w:val="00BE0ADB"/>
    <w:rsid w:val="00BE2555"/>
    <w:rsid w:val="00BE2F66"/>
    <w:rsid w:val="00BE3C91"/>
    <w:rsid w:val="00BF0F4B"/>
    <w:rsid w:val="00BF4F4F"/>
    <w:rsid w:val="00C01894"/>
    <w:rsid w:val="00C028B4"/>
    <w:rsid w:val="00C02A04"/>
    <w:rsid w:val="00C030F1"/>
    <w:rsid w:val="00C0571F"/>
    <w:rsid w:val="00C070B1"/>
    <w:rsid w:val="00C07E08"/>
    <w:rsid w:val="00C14537"/>
    <w:rsid w:val="00C15173"/>
    <w:rsid w:val="00C1580C"/>
    <w:rsid w:val="00C208B1"/>
    <w:rsid w:val="00C23CB8"/>
    <w:rsid w:val="00C25D83"/>
    <w:rsid w:val="00C3067E"/>
    <w:rsid w:val="00C32849"/>
    <w:rsid w:val="00C40EF8"/>
    <w:rsid w:val="00C42B91"/>
    <w:rsid w:val="00C533B8"/>
    <w:rsid w:val="00C54C54"/>
    <w:rsid w:val="00C5738F"/>
    <w:rsid w:val="00C5743B"/>
    <w:rsid w:val="00C57756"/>
    <w:rsid w:val="00C60633"/>
    <w:rsid w:val="00C65EA2"/>
    <w:rsid w:val="00C71705"/>
    <w:rsid w:val="00C73AE8"/>
    <w:rsid w:val="00C745B3"/>
    <w:rsid w:val="00C76864"/>
    <w:rsid w:val="00C818AA"/>
    <w:rsid w:val="00C82875"/>
    <w:rsid w:val="00C8493C"/>
    <w:rsid w:val="00C9713D"/>
    <w:rsid w:val="00CA0F8B"/>
    <w:rsid w:val="00CA1914"/>
    <w:rsid w:val="00CA4205"/>
    <w:rsid w:val="00CA7D38"/>
    <w:rsid w:val="00CD1B70"/>
    <w:rsid w:val="00CD4A7E"/>
    <w:rsid w:val="00CD5419"/>
    <w:rsid w:val="00CD6B80"/>
    <w:rsid w:val="00CE02CD"/>
    <w:rsid w:val="00CE7C59"/>
    <w:rsid w:val="00CF0DF3"/>
    <w:rsid w:val="00CF22E4"/>
    <w:rsid w:val="00CF6FD0"/>
    <w:rsid w:val="00D009C1"/>
    <w:rsid w:val="00D050E5"/>
    <w:rsid w:val="00D06025"/>
    <w:rsid w:val="00D06352"/>
    <w:rsid w:val="00D1065B"/>
    <w:rsid w:val="00D11941"/>
    <w:rsid w:val="00D3636F"/>
    <w:rsid w:val="00D378F3"/>
    <w:rsid w:val="00D37FDF"/>
    <w:rsid w:val="00D417B8"/>
    <w:rsid w:val="00D41961"/>
    <w:rsid w:val="00D41BF1"/>
    <w:rsid w:val="00D425C4"/>
    <w:rsid w:val="00D447C3"/>
    <w:rsid w:val="00D4644D"/>
    <w:rsid w:val="00D475C0"/>
    <w:rsid w:val="00D54CC3"/>
    <w:rsid w:val="00D56764"/>
    <w:rsid w:val="00D603DE"/>
    <w:rsid w:val="00D76020"/>
    <w:rsid w:val="00D916B7"/>
    <w:rsid w:val="00D938A8"/>
    <w:rsid w:val="00DA01FB"/>
    <w:rsid w:val="00DB0BC2"/>
    <w:rsid w:val="00DB171B"/>
    <w:rsid w:val="00DB1821"/>
    <w:rsid w:val="00DD1A71"/>
    <w:rsid w:val="00DE11D1"/>
    <w:rsid w:val="00DE25AC"/>
    <w:rsid w:val="00DF34E6"/>
    <w:rsid w:val="00DF69E7"/>
    <w:rsid w:val="00DF7431"/>
    <w:rsid w:val="00E058AB"/>
    <w:rsid w:val="00E07765"/>
    <w:rsid w:val="00E11C8F"/>
    <w:rsid w:val="00E252D3"/>
    <w:rsid w:val="00E27E2A"/>
    <w:rsid w:val="00E349A1"/>
    <w:rsid w:val="00E36A4A"/>
    <w:rsid w:val="00E46FBD"/>
    <w:rsid w:val="00E504E2"/>
    <w:rsid w:val="00E51894"/>
    <w:rsid w:val="00E5632D"/>
    <w:rsid w:val="00E574D6"/>
    <w:rsid w:val="00E613B1"/>
    <w:rsid w:val="00E61A57"/>
    <w:rsid w:val="00E66ED8"/>
    <w:rsid w:val="00E7691A"/>
    <w:rsid w:val="00E77009"/>
    <w:rsid w:val="00E832D8"/>
    <w:rsid w:val="00E832ED"/>
    <w:rsid w:val="00E834AC"/>
    <w:rsid w:val="00E85319"/>
    <w:rsid w:val="00E87A8E"/>
    <w:rsid w:val="00E965A6"/>
    <w:rsid w:val="00EA19E3"/>
    <w:rsid w:val="00EA5E0B"/>
    <w:rsid w:val="00EB1F90"/>
    <w:rsid w:val="00EB5D81"/>
    <w:rsid w:val="00EC2E88"/>
    <w:rsid w:val="00EC66F1"/>
    <w:rsid w:val="00ED4A44"/>
    <w:rsid w:val="00EE605F"/>
    <w:rsid w:val="00EF2A82"/>
    <w:rsid w:val="00EF3885"/>
    <w:rsid w:val="00EF4E2A"/>
    <w:rsid w:val="00F06E68"/>
    <w:rsid w:val="00F1060B"/>
    <w:rsid w:val="00F111E2"/>
    <w:rsid w:val="00F14297"/>
    <w:rsid w:val="00F14A8E"/>
    <w:rsid w:val="00F171F6"/>
    <w:rsid w:val="00F20007"/>
    <w:rsid w:val="00F30911"/>
    <w:rsid w:val="00F30EDD"/>
    <w:rsid w:val="00F312F4"/>
    <w:rsid w:val="00F36AE2"/>
    <w:rsid w:val="00F51023"/>
    <w:rsid w:val="00F51AAC"/>
    <w:rsid w:val="00F52DC0"/>
    <w:rsid w:val="00F5755B"/>
    <w:rsid w:val="00F62FB1"/>
    <w:rsid w:val="00F72853"/>
    <w:rsid w:val="00F74408"/>
    <w:rsid w:val="00F761C0"/>
    <w:rsid w:val="00F77FA2"/>
    <w:rsid w:val="00F77FB5"/>
    <w:rsid w:val="00F806EE"/>
    <w:rsid w:val="00F80F81"/>
    <w:rsid w:val="00F91C88"/>
    <w:rsid w:val="00F966C9"/>
    <w:rsid w:val="00F97DB4"/>
    <w:rsid w:val="00FA1DB2"/>
    <w:rsid w:val="00FA52AC"/>
    <w:rsid w:val="00FB00E3"/>
    <w:rsid w:val="00FB2EAE"/>
    <w:rsid w:val="00FB3947"/>
    <w:rsid w:val="00FB6F09"/>
    <w:rsid w:val="00FB7966"/>
    <w:rsid w:val="00FC153B"/>
    <w:rsid w:val="00FC1B1B"/>
    <w:rsid w:val="00FC2631"/>
    <w:rsid w:val="00FC2EC2"/>
    <w:rsid w:val="00FC321A"/>
    <w:rsid w:val="00FC4ED5"/>
    <w:rsid w:val="00FC64CA"/>
    <w:rsid w:val="00FE16F3"/>
    <w:rsid w:val="00FE1A1D"/>
    <w:rsid w:val="00FE1F38"/>
    <w:rsid w:val="00FF0E38"/>
    <w:rsid w:val="00FF1249"/>
    <w:rsid w:val="00FF1CC1"/>
    <w:rsid w:val="00FF1EF1"/>
    <w:rsid w:val="00FF59C6"/>
    <w:rsid w:val="02E155BD"/>
    <w:rsid w:val="03871201"/>
    <w:rsid w:val="084543B3"/>
    <w:rsid w:val="0A891F15"/>
    <w:rsid w:val="0C174E3C"/>
    <w:rsid w:val="0C533855"/>
    <w:rsid w:val="0FE1431B"/>
    <w:rsid w:val="11496A87"/>
    <w:rsid w:val="138953D0"/>
    <w:rsid w:val="14FB4FCB"/>
    <w:rsid w:val="162A3C0B"/>
    <w:rsid w:val="1BF540D8"/>
    <w:rsid w:val="1CDD3F54"/>
    <w:rsid w:val="1F2E5499"/>
    <w:rsid w:val="215E334E"/>
    <w:rsid w:val="253505AB"/>
    <w:rsid w:val="29AC2A62"/>
    <w:rsid w:val="2ACA558B"/>
    <w:rsid w:val="2AD85BA0"/>
    <w:rsid w:val="2E581656"/>
    <w:rsid w:val="34C44320"/>
    <w:rsid w:val="36020C49"/>
    <w:rsid w:val="38A071A7"/>
    <w:rsid w:val="3A4C0E46"/>
    <w:rsid w:val="3B1442E2"/>
    <w:rsid w:val="3D834FBE"/>
    <w:rsid w:val="3FCC3059"/>
    <w:rsid w:val="417775BD"/>
    <w:rsid w:val="41AB358E"/>
    <w:rsid w:val="43B84F7A"/>
    <w:rsid w:val="494B52D2"/>
    <w:rsid w:val="4A3D65DB"/>
    <w:rsid w:val="4B7FE755"/>
    <w:rsid w:val="4BB662FC"/>
    <w:rsid w:val="595128D4"/>
    <w:rsid w:val="5D9AE7BD"/>
    <w:rsid w:val="6266105B"/>
    <w:rsid w:val="644F637E"/>
    <w:rsid w:val="649B35E8"/>
    <w:rsid w:val="66FD4766"/>
    <w:rsid w:val="6BC20C6E"/>
    <w:rsid w:val="723C189E"/>
    <w:rsid w:val="73E20D43"/>
    <w:rsid w:val="76754D58"/>
    <w:rsid w:val="791F182C"/>
    <w:rsid w:val="797E70AC"/>
    <w:rsid w:val="7DC04925"/>
    <w:rsid w:val="7F6A7058"/>
    <w:rsid w:val="8BBF53DF"/>
    <w:rsid w:val="BDABB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99"/>
    <w:pPr>
      <w:jc w:val="left"/>
      <w:outlineLvl w:val="3"/>
    </w:pPr>
    <w:rPr>
      <w:rFonts w:ascii="宋体" w:hAnsi="宋体" w:eastAsia="宋体" w:cs="宋体"/>
      <w:b/>
      <w:bCs/>
      <w:kern w:val="0"/>
      <w:sz w:val="16"/>
      <w:szCs w:val="16"/>
    </w:rPr>
  </w:style>
  <w:style w:type="paragraph" w:styleId="6">
    <w:name w:val="heading 6"/>
    <w:basedOn w:val="1"/>
    <w:next w:val="1"/>
    <w:link w:val="10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eastAsiaTheme="minorHAnsi"/>
      <w:sz w:val="18"/>
      <w:szCs w:val="18"/>
    </w:r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annotation text"/>
    <w:basedOn w:val="1"/>
    <w:link w:val="46"/>
    <w:unhideWhenUsed/>
    <w:qFormat/>
    <w:uiPriority w:val="99"/>
    <w:pPr>
      <w:jc w:val="left"/>
    </w:pPr>
  </w:style>
  <w:style w:type="paragraph" w:styleId="10">
    <w:name w:val="index 6"/>
    <w:basedOn w:val="1"/>
    <w:next w:val="1"/>
    <w:qFormat/>
    <w:uiPriority w:val="99"/>
    <w:rPr>
      <w:szCs w:val="24"/>
    </w:rPr>
  </w:style>
  <w:style w:type="paragraph" w:styleId="11">
    <w:name w:val="Body Text"/>
    <w:basedOn w:val="1"/>
    <w:link w:val="113"/>
    <w:qFormat/>
    <w:uiPriority w:val="0"/>
    <w:pPr>
      <w:widowControl/>
      <w:adjustRightInd w:val="0"/>
      <w:snapToGrid w:val="0"/>
      <w:spacing w:after="120" w:line="360" w:lineRule="auto"/>
      <w:ind w:firstLine="200" w:firstLineChars="200"/>
    </w:pPr>
    <w:rPr>
      <w:rFonts w:ascii="Times New Roman" w:hAnsi="Times New Roman" w:eastAsia="仿宋" w:cs="Times New Roman"/>
      <w:sz w:val="28"/>
      <w:szCs w:val="20"/>
      <w:lang w:bidi="en-US"/>
    </w:rPr>
  </w:style>
  <w:style w:type="paragraph" w:styleId="12">
    <w:name w:val="Body Text Indent"/>
    <w:basedOn w:val="1"/>
    <w:link w:val="114"/>
    <w:qFormat/>
    <w:uiPriority w:val="0"/>
    <w:pPr>
      <w:widowControl/>
      <w:adjustRightInd w:val="0"/>
      <w:snapToGrid w:val="0"/>
      <w:spacing w:after="120" w:line="360" w:lineRule="auto"/>
      <w:ind w:left="420" w:leftChars="200" w:firstLine="200" w:firstLineChars="200"/>
    </w:pPr>
    <w:rPr>
      <w:rFonts w:ascii="Times New Roman" w:hAnsi="Times New Roman" w:eastAsia="仿宋" w:cs="Times New Roman"/>
      <w:sz w:val="28"/>
      <w:szCs w:val="20"/>
      <w:lang w:bidi="en-US"/>
    </w:rPr>
  </w:style>
  <w:style w:type="paragraph" w:styleId="13">
    <w:name w:val="toc 5"/>
    <w:basedOn w:val="1"/>
    <w:next w:val="1"/>
    <w:unhideWhenUsed/>
    <w:qFormat/>
    <w:uiPriority w:val="39"/>
    <w:pPr>
      <w:ind w:left="840"/>
      <w:jc w:val="left"/>
    </w:pPr>
    <w:rPr>
      <w:rFonts w:eastAsiaTheme="minorHAnsi"/>
      <w:sz w:val="18"/>
      <w:szCs w:val="18"/>
    </w:rPr>
  </w:style>
  <w:style w:type="paragraph" w:styleId="14">
    <w:name w:val="toc 3"/>
    <w:basedOn w:val="1"/>
    <w:next w:val="1"/>
    <w:unhideWhenUsed/>
    <w:qFormat/>
    <w:uiPriority w:val="39"/>
    <w:pPr>
      <w:ind w:left="420"/>
      <w:jc w:val="left"/>
    </w:pPr>
    <w:rPr>
      <w:rFonts w:eastAsiaTheme="minorHAnsi"/>
      <w:i/>
      <w:iCs/>
      <w:sz w:val="20"/>
      <w:szCs w:val="20"/>
    </w:rPr>
  </w:style>
  <w:style w:type="paragraph" w:styleId="15">
    <w:name w:val="toc 8"/>
    <w:basedOn w:val="1"/>
    <w:next w:val="1"/>
    <w:unhideWhenUsed/>
    <w:qFormat/>
    <w:uiPriority w:val="39"/>
    <w:pPr>
      <w:ind w:left="1470"/>
      <w:jc w:val="left"/>
    </w:pPr>
    <w:rPr>
      <w:rFonts w:eastAsiaTheme="minorHAnsi"/>
      <w:sz w:val="18"/>
      <w:szCs w:val="18"/>
    </w:rPr>
  </w:style>
  <w:style w:type="paragraph" w:styleId="16">
    <w:name w:val="Balloon Text"/>
    <w:basedOn w:val="1"/>
    <w:link w:val="45"/>
    <w:unhideWhenUsed/>
    <w:qFormat/>
    <w:uiPriority w:val="99"/>
    <w:rPr>
      <w:sz w:val="18"/>
      <w:szCs w:val="18"/>
    </w:rPr>
  </w:style>
  <w:style w:type="paragraph" w:styleId="17">
    <w:name w:val="footer"/>
    <w:basedOn w:val="1"/>
    <w:link w:val="48"/>
    <w:unhideWhenUsed/>
    <w:qFormat/>
    <w:uiPriority w:val="99"/>
    <w:pPr>
      <w:tabs>
        <w:tab w:val="center" w:pos="4153"/>
        <w:tab w:val="right" w:pos="8306"/>
      </w:tabs>
      <w:snapToGrid w:val="0"/>
      <w:jc w:val="left"/>
    </w:pPr>
    <w:rPr>
      <w:sz w:val="18"/>
      <w:szCs w:val="18"/>
    </w:rPr>
  </w:style>
  <w:style w:type="paragraph" w:styleId="18">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eastAsiaTheme="minorHAnsi"/>
      <w:b/>
      <w:bCs/>
      <w:caps/>
      <w:sz w:val="20"/>
      <w:szCs w:val="20"/>
    </w:rPr>
  </w:style>
  <w:style w:type="paragraph" w:styleId="20">
    <w:name w:val="toc 4"/>
    <w:basedOn w:val="1"/>
    <w:next w:val="1"/>
    <w:unhideWhenUsed/>
    <w:qFormat/>
    <w:uiPriority w:val="39"/>
    <w:pPr>
      <w:ind w:left="630"/>
      <w:jc w:val="left"/>
    </w:pPr>
    <w:rPr>
      <w:rFonts w:eastAsiaTheme="minorHAnsi"/>
      <w:sz w:val="18"/>
      <w:szCs w:val="18"/>
    </w:rPr>
  </w:style>
  <w:style w:type="paragraph" w:styleId="21">
    <w:name w:val="Subtitle"/>
    <w:basedOn w:val="1"/>
    <w:next w:val="1"/>
    <w:link w:val="118"/>
    <w:qFormat/>
    <w:uiPriority w:val="0"/>
    <w:pPr>
      <w:widowControl/>
      <w:adjustRightInd w:val="0"/>
      <w:snapToGrid w:val="0"/>
      <w:spacing w:line="360" w:lineRule="auto"/>
      <w:ind w:firstLine="720" w:firstLineChars="200"/>
    </w:pPr>
    <w:rPr>
      <w:rFonts w:ascii="黑体" w:hAnsi="黑体" w:eastAsia="黑体" w:cs="Times New Roman"/>
      <w:color w:val="000000"/>
      <w:sz w:val="36"/>
      <w:szCs w:val="30"/>
    </w:rPr>
  </w:style>
  <w:style w:type="paragraph" w:styleId="22">
    <w:name w:val="toc 6"/>
    <w:basedOn w:val="1"/>
    <w:next w:val="1"/>
    <w:unhideWhenUsed/>
    <w:qFormat/>
    <w:uiPriority w:val="39"/>
    <w:pPr>
      <w:ind w:left="1050"/>
      <w:jc w:val="left"/>
    </w:pPr>
    <w:rPr>
      <w:rFonts w:eastAsiaTheme="minorHAnsi"/>
      <w:sz w:val="18"/>
      <w:szCs w:val="18"/>
    </w:rPr>
  </w:style>
  <w:style w:type="paragraph" w:styleId="23">
    <w:name w:val="toc 2"/>
    <w:basedOn w:val="1"/>
    <w:next w:val="1"/>
    <w:unhideWhenUsed/>
    <w:qFormat/>
    <w:uiPriority w:val="39"/>
    <w:pPr>
      <w:ind w:left="210"/>
      <w:jc w:val="left"/>
    </w:pPr>
    <w:rPr>
      <w:rFonts w:eastAsiaTheme="minorHAnsi"/>
      <w:smallCaps/>
      <w:sz w:val="20"/>
      <w:szCs w:val="20"/>
    </w:rPr>
  </w:style>
  <w:style w:type="paragraph" w:styleId="24">
    <w:name w:val="toc 9"/>
    <w:basedOn w:val="1"/>
    <w:next w:val="1"/>
    <w:unhideWhenUsed/>
    <w:qFormat/>
    <w:uiPriority w:val="39"/>
    <w:pPr>
      <w:ind w:left="1680"/>
      <w:jc w:val="left"/>
    </w:pPr>
    <w:rPr>
      <w:rFonts w:eastAsiaTheme="minorHAnsi"/>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110"/>
    <w:qFormat/>
    <w:uiPriority w:val="0"/>
    <w:pPr>
      <w:widowControl/>
      <w:adjustRightInd w:val="0"/>
      <w:snapToGrid w:val="0"/>
      <w:spacing w:before="240" w:after="60" w:line="360" w:lineRule="auto"/>
      <w:ind w:firstLine="200" w:firstLineChars="200"/>
      <w:jc w:val="center"/>
      <w:outlineLvl w:val="0"/>
    </w:pPr>
    <w:rPr>
      <w:rFonts w:ascii="等线 Light" w:hAnsi="等线 Light" w:eastAsia="宋体" w:cs="Times New Roman"/>
      <w:b/>
      <w:bCs/>
      <w:sz w:val="32"/>
      <w:szCs w:val="32"/>
      <w:lang w:bidi="en-US"/>
    </w:rPr>
  </w:style>
  <w:style w:type="paragraph" w:styleId="27">
    <w:name w:val="annotation subject"/>
    <w:basedOn w:val="9"/>
    <w:next w:val="9"/>
    <w:link w:val="50"/>
    <w:unhideWhenUsed/>
    <w:qFormat/>
    <w:uiPriority w:val="99"/>
    <w:rPr>
      <w:b/>
      <w:bCs/>
    </w:rPr>
  </w:style>
  <w:style w:type="paragraph" w:styleId="28">
    <w:name w:val="Body Text First Indent 2"/>
    <w:basedOn w:val="12"/>
    <w:link w:val="121"/>
    <w:qFormat/>
    <w:uiPriority w:val="0"/>
    <w:pPr>
      <w:ind w:firstLine="420"/>
    </w:pPr>
    <w:rPr>
      <w:rFonts w:eastAsia="宋体"/>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954F72"/>
      <w:u w:val="single"/>
    </w:rPr>
  </w:style>
  <w:style w:type="character" w:styleId="34">
    <w:name w:val="Hyperlink"/>
    <w:basedOn w:val="31"/>
    <w:unhideWhenUsed/>
    <w:qFormat/>
    <w:uiPriority w:val="99"/>
    <w:rPr>
      <w:color w:val="0563C1"/>
      <w:u w:val="single"/>
    </w:rPr>
  </w:style>
  <w:style w:type="character" w:styleId="35">
    <w:name w:val="annotation reference"/>
    <w:basedOn w:val="31"/>
    <w:unhideWhenUsed/>
    <w:qFormat/>
    <w:uiPriority w:val="99"/>
    <w:rPr>
      <w:sz w:val="21"/>
      <w:szCs w:val="21"/>
    </w:rPr>
  </w:style>
  <w:style w:type="character" w:customStyle="1" w:styleId="36">
    <w:name w:val="标题 1 字符"/>
    <w:basedOn w:val="31"/>
    <w:link w:val="2"/>
    <w:qFormat/>
    <w:uiPriority w:val="9"/>
    <w:rPr>
      <w:b/>
      <w:bCs/>
      <w:kern w:val="44"/>
      <w:sz w:val="44"/>
      <w:szCs w:val="44"/>
    </w:rPr>
  </w:style>
  <w:style w:type="character" w:customStyle="1" w:styleId="37">
    <w:name w:val="标题 2 字符"/>
    <w:basedOn w:val="31"/>
    <w:link w:val="3"/>
    <w:qFormat/>
    <w:uiPriority w:val="9"/>
    <w:rPr>
      <w:rFonts w:asciiTheme="majorHAnsi" w:hAnsiTheme="majorHAnsi" w:eastAsiaTheme="majorEastAsia" w:cstheme="majorBidi"/>
      <w:b/>
      <w:bCs/>
      <w:sz w:val="32"/>
      <w:szCs w:val="32"/>
    </w:rPr>
  </w:style>
  <w:style w:type="character" w:customStyle="1" w:styleId="38">
    <w:name w:val="标题 3 字符"/>
    <w:basedOn w:val="31"/>
    <w:link w:val="4"/>
    <w:semiHidden/>
    <w:qFormat/>
    <w:uiPriority w:val="9"/>
    <w:rPr>
      <w:b/>
      <w:bCs/>
      <w:sz w:val="32"/>
      <w:szCs w:val="32"/>
    </w:rPr>
  </w:style>
  <w:style w:type="character" w:customStyle="1" w:styleId="39">
    <w:name w:val="标题 4 字符"/>
    <w:basedOn w:val="31"/>
    <w:link w:val="5"/>
    <w:qFormat/>
    <w:uiPriority w:val="99"/>
    <w:rPr>
      <w:rFonts w:ascii="宋体" w:hAnsi="宋体" w:eastAsia="宋体" w:cs="宋体"/>
      <w:b/>
      <w:bCs/>
      <w:kern w:val="0"/>
      <w:sz w:val="16"/>
      <w:szCs w:val="16"/>
    </w:rPr>
  </w:style>
  <w:style w:type="paragraph" w:customStyle="1" w:styleId="40">
    <w:name w:val="样式1"/>
    <w:basedOn w:val="1"/>
    <w:link w:val="41"/>
    <w:qFormat/>
    <w:uiPriority w:val="0"/>
    <w:pPr>
      <w:spacing w:line="720" w:lineRule="auto"/>
      <w:jc w:val="center"/>
      <w:outlineLvl w:val="0"/>
    </w:pPr>
    <w:rPr>
      <w:rFonts w:ascii="黑体" w:hAnsi="黑体" w:eastAsia="黑体"/>
      <w:b/>
      <w:bCs/>
      <w:sz w:val="96"/>
      <w:szCs w:val="96"/>
    </w:rPr>
  </w:style>
  <w:style w:type="character" w:customStyle="1" w:styleId="41">
    <w:name w:val="样式1 字符"/>
    <w:basedOn w:val="31"/>
    <w:link w:val="40"/>
    <w:qFormat/>
    <w:uiPriority w:val="0"/>
    <w:rPr>
      <w:rFonts w:ascii="黑体" w:hAnsi="黑体" w:eastAsia="黑体"/>
      <w:b/>
      <w:bCs/>
      <w:sz w:val="96"/>
      <w:szCs w:val="96"/>
    </w:rPr>
  </w:style>
  <w:style w:type="paragraph" w:customStyle="1" w:styleId="42">
    <w:name w:val="样式2"/>
    <w:basedOn w:val="1"/>
    <w:link w:val="43"/>
    <w:qFormat/>
    <w:uiPriority w:val="0"/>
    <w:pPr>
      <w:jc w:val="center"/>
      <w:outlineLvl w:val="1"/>
    </w:pPr>
    <w:rPr>
      <w:rFonts w:ascii="仿宋" w:hAnsi="仿宋" w:eastAsia="仿宋"/>
      <w:b/>
      <w:bCs/>
      <w:sz w:val="28"/>
      <w:szCs w:val="28"/>
    </w:rPr>
  </w:style>
  <w:style w:type="character" w:customStyle="1" w:styleId="43">
    <w:name w:val="样式2 字符"/>
    <w:basedOn w:val="31"/>
    <w:link w:val="42"/>
    <w:qFormat/>
    <w:uiPriority w:val="0"/>
    <w:rPr>
      <w:rFonts w:ascii="仿宋" w:hAnsi="仿宋" w:eastAsia="仿宋"/>
      <w:b/>
      <w:bCs/>
      <w:sz w:val="28"/>
      <w:szCs w:val="28"/>
    </w:rPr>
  </w:style>
  <w:style w:type="table" w:customStyle="1" w:styleId="44">
    <w:name w:val="网格型5"/>
    <w:basedOn w:val="29"/>
    <w:qFormat/>
    <w:uiPriority w:val="3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批注框文本 字符"/>
    <w:basedOn w:val="31"/>
    <w:link w:val="16"/>
    <w:qFormat/>
    <w:uiPriority w:val="99"/>
    <w:rPr>
      <w:sz w:val="18"/>
      <w:szCs w:val="18"/>
    </w:rPr>
  </w:style>
  <w:style w:type="character" w:customStyle="1" w:styleId="46">
    <w:name w:val="批注文字 字符"/>
    <w:basedOn w:val="31"/>
    <w:link w:val="9"/>
    <w:qFormat/>
    <w:uiPriority w:val="99"/>
  </w:style>
  <w:style w:type="table" w:customStyle="1" w:styleId="47">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页脚 字符"/>
    <w:basedOn w:val="31"/>
    <w:link w:val="17"/>
    <w:qFormat/>
    <w:uiPriority w:val="99"/>
    <w:rPr>
      <w:sz w:val="18"/>
      <w:szCs w:val="18"/>
    </w:rPr>
  </w:style>
  <w:style w:type="character" w:customStyle="1" w:styleId="49">
    <w:name w:val="页眉 字符"/>
    <w:basedOn w:val="31"/>
    <w:link w:val="18"/>
    <w:qFormat/>
    <w:uiPriority w:val="99"/>
    <w:rPr>
      <w:sz w:val="18"/>
      <w:szCs w:val="18"/>
    </w:rPr>
  </w:style>
  <w:style w:type="character" w:customStyle="1" w:styleId="50">
    <w:name w:val="批注主题 字符"/>
    <w:basedOn w:val="46"/>
    <w:link w:val="27"/>
    <w:semiHidden/>
    <w:qFormat/>
    <w:uiPriority w:val="99"/>
    <w:rPr>
      <w:b/>
      <w:bCs/>
    </w:rPr>
  </w:style>
  <w:style w:type="paragraph" w:styleId="51">
    <w:name w:val="List Paragraph"/>
    <w:basedOn w:val="1"/>
    <w:qFormat/>
    <w:uiPriority w:val="34"/>
    <w:pPr>
      <w:ind w:firstLine="420" w:firstLineChars="200"/>
    </w:pPr>
  </w:style>
  <w:style w:type="paragraph" w:customStyle="1" w:styleId="5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4"/>
      <w:szCs w:val="24"/>
    </w:rPr>
  </w:style>
  <w:style w:type="paragraph" w:customStyle="1" w:styleId="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4"/>
      <w:szCs w:val="24"/>
    </w:rPr>
  </w:style>
  <w:style w:type="paragraph" w:customStyle="1" w:styleId="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4"/>
      <w:szCs w:val="24"/>
    </w:rPr>
  </w:style>
  <w:style w:type="paragraph" w:customStyle="1" w:styleId="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6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6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7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color w:val="FF0000"/>
      <w:kern w:val="0"/>
      <w:sz w:val="24"/>
      <w:szCs w:val="24"/>
    </w:rPr>
  </w:style>
  <w:style w:type="paragraph" w:customStyle="1" w:styleId="7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73">
    <w:name w:val="标准文字"/>
    <w:basedOn w:val="1"/>
    <w:link w:val="74"/>
    <w:qFormat/>
    <w:uiPriority w:val="99"/>
    <w:pPr>
      <w:overflowPunct w:val="0"/>
      <w:snapToGrid w:val="0"/>
      <w:spacing w:line="360" w:lineRule="auto"/>
      <w:ind w:firstLine="640" w:firstLineChars="200"/>
    </w:pPr>
    <w:rPr>
      <w:rFonts w:ascii="Times New Roman" w:hAnsi="Times New Roman" w:eastAsia="仿宋_GB2312" w:cs="Times New Roman"/>
      <w:kern w:val="0"/>
      <w:sz w:val="32"/>
      <w:szCs w:val="32"/>
    </w:rPr>
  </w:style>
  <w:style w:type="character" w:customStyle="1" w:styleId="74">
    <w:name w:val="标准文字 Char"/>
    <w:link w:val="73"/>
    <w:qFormat/>
    <w:locked/>
    <w:uiPriority w:val="99"/>
    <w:rPr>
      <w:rFonts w:ascii="Times New Roman" w:hAnsi="Times New Roman" w:eastAsia="仿宋_GB2312" w:cs="Times New Roman"/>
      <w:kern w:val="0"/>
      <w:sz w:val="32"/>
      <w:szCs w:val="32"/>
    </w:rPr>
  </w:style>
  <w:style w:type="paragraph" w:customStyle="1" w:styleId="75">
    <w:name w:val="font8"/>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6">
    <w:name w:val="font9"/>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77">
    <w:name w:val="xl6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 w:hAnsi="宋体" w:eastAsia="方正仿宋" w:cs="宋体"/>
      <w:kern w:val="0"/>
      <w:sz w:val="20"/>
      <w:szCs w:val="20"/>
    </w:rPr>
  </w:style>
  <w:style w:type="character" w:customStyle="1" w:styleId="79">
    <w:name w:val="font71"/>
    <w:basedOn w:val="31"/>
    <w:qFormat/>
    <w:uiPriority w:val="0"/>
    <w:rPr>
      <w:rFonts w:hint="eastAsia" w:ascii="方正仿宋" w:hAnsi="方正仿宋" w:eastAsia="方正仿宋" w:cs="方正仿宋"/>
      <w:color w:val="000000"/>
      <w:sz w:val="22"/>
      <w:szCs w:val="22"/>
      <w:u w:val="none"/>
      <w:vertAlign w:val="superscript"/>
    </w:rPr>
  </w:style>
  <w:style w:type="character" w:customStyle="1" w:styleId="80">
    <w:name w:val="font51"/>
    <w:basedOn w:val="31"/>
    <w:qFormat/>
    <w:uiPriority w:val="0"/>
    <w:rPr>
      <w:rFonts w:hint="eastAsia" w:ascii="方正仿宋" w:hAnsi="方正仿宋" w:eastAsia="方正仿宋" w:cs="方正仿宋"/>
      <w:color w:val="000000"/>
      <w:sz w:val="22"/>
      <w:szCs w:val="22"/>
      <w:u w:val="none"/>
    </w:rPr>
  </w:style>
  <w:style w:type="paragraph" w:customStyle="1" w:styleId="81">
    <w:name w:val="样式3"/>
    <w:basedOn w:val="1"/>
    <w:link w:val="82"/>
    <w:qFormat/>
    <w:uiPriority w:val="0"/>
    <w:pPr>
      <w:spacing w:line="360" w:lineRule="auto"/>
      <w:ind w:firstLine="562" w:firstLineChars="200"/>
      <w:jc w:val="center"/>
    </w:pPr>
    <w:rPr>
      <w:rFonts w:ascii="仿宋" w:hAnsi="仿宋" w:eastAsia="仿宋" w:cs="Times New Roman"/>
      <w:b/>
      <w:bCs/>
      <w:sz w:val="28"/>
      <w:szCs w:val="28"/>
    </w:rPr>
  </w:style>
  <w:style w:type="character" w:customStyle="1" w:styleId="82">
    <w:name w:val="样式3 字符"/>
    <w:basedOn w:val="31"/>
    <w:link w:val="81"/>
    <w:qFormat/>
    <w:uiPriority w:val="0"/>
    <w:rPr>
      <w:rFonts w:ascii="仿宋" w:hAnsi="仿宋" w:eastAsia="仿宋" w:cs="Times New Roman"/>
      <w:b/>
      <w:bCs/>
      <w:sz w:val="28"/>
      <w:szCs w:val="28"/>
    </w:rPr>
  </w:style>
  <w:style w:type="paragraph" w:customStyle="1" w:styleId="83">
    <w:name w:val="一标题"/>
    <w:basedOn w:val="1"/>
    <w:link w:val="84"/>
    <w:qFormat/>
    <w:uiPriority w:val="0"/>
    <w:pPr>
      <w:spacing w:line="720" w:lineRule="auto"/>
      <w:jc w:val="center"/>
    </w:pPr>
    <w:rPr>
      <w:rFonts w:ascii="黑体" w:hAnsi="黑体" w:eastAsia="黑体"/>
      <w:b/>
      <w:bCs/>
      <w:sz w:val="96"/>
      <w:szCs w:val="96"/>
    </w:rPr>
  </w:style>
  <w:style w:type="character" w:customStyle="1" w:styleId="84">
    <w:name w:val="一标题 字符"/>
    <w:basedOn w:val="31"/>
    <w:link w:val="83"/>
    <w:qFormat/>
    <w:uiPriority w:val="0"/>
    <w:rPr>
      <w:rFonts w:ascii="黑体" w:hAnsi="黑体" w:eastAsia="黑体"/>
      <w:b/>
      <w:bCs/>
      <w:sz w:val="96"/>
      <w:szCs w:val="96"/>
    </w:rPr>
  </w:style>
  <w:style w:type="paragraph" w:customStyle="1" w:styleId="85">
    <w:name w:val="二标题"/>
    <w:basedOn w:val="42"/>
    <w:link w:val="86"/>
    <w:qFormat/>
    <w:uiPriority w:val="0"/>
    <w:pPr>
      <w:spacing w:line="360" w:lineRule="auto"/>
      <w:ind w:firstLine="562" w:firstLineChars="200"/>
      <w:outlineLvl w:val="9"/>
    </w:pPr>
    <w:rPr>
      <w:rFonts w:cs="Times New Roman"/>
    </w:rPr>
  </w:style>
  <w:style w:type="character" w:customStyle="1" w:styleId="86">
    <w:name w:val="二标题 字符"/>
    <w:basedOn w:val="43"/>
    <w:link w:val="85"/>
    <w:qFormat/>
    <w:uiPriority w:val="0"/>
    <w:rPr>
      <w:rFonts w:ascii="仿宋" w:hAnsi="仿宋" w:eastAsia="仿宋" w:cs="Times New Roman"/>
      <w:sz w:val="28"/>
      <w:szCs w:val="28"/>
    </w:rPr>
  </w:style>
  <w:style w:type="paragraph" w:customStyle="1" w:styleId="8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88">
    <w:name w:val="样式4"/>
    <w:basedOn w:val="1"/>
    <w:link w:val="89"/>
    <w:qFormat/>
    <w:uiPriority w:val="0"/>
    <w:pPr>
      <w:tabs>
        <w:tab w:val="left" w:pos="50"/>
      </w:tabs>
      <w:spacing w:before="312" w:beforeLines="100" w:line="720" w:lineRule="auto"/>
      <w:jc w:val="center"/>
    </w:pPr>
    <w:rPr>
      <w:rFonts w:ascii="仿宋_GB2312" w:hAnsi="仿宋_GB2312" w:eastAsia="仿宋_GB2312" w:cs="仿宋_GB2312"/>
      <w:b/>
      <w:sz w:val="52"/>
      <w:szCs w:val="72"/>
    </w:rPr>
  </w:style>
  <w:style w:type="character" w:customStyle="1" w:styleId="89">
    <w:name w:val="样式4 字符"/>
    <w:basedOn w:val="31"/>
    <w:link w:val="88"/>
    <w:qFormat/>
    <w:uiPriority w:val="0"/>
    <w:rPr>
      <w:rFonts w:ascii="仿宋_GB2312" w:hAnsi="仿宋_GB2312" w:eastAsia="仿宋_GB2312" w:cs="仿宋_GB2312"/>
      <w:b/>
      <w:sz w:val="52"/>
      <w:szCs w:val="72"/>
    </w:rPr>
  </w:style>
  <w:style w:type="paragraph" w:customStyle="1" w:styleId="90">
    <w:name w:val="样式5"/>
    <w:basedOn w:val="83"/>
    <w:link w:val="91"/>
    <w:qFormat/>
    <w:uiPriority w:val="0"/>
    <w:pPr>
      <w:spacing w:line="240" w:lineRule="auto"/>
    </w:pPr>
  </w:style>
  <w:style w:type="character" w:customStyle="1" w:styleId="91">
    <w:name w:val="样式5 字符"/>
    <w:basedOn w:val="84"/>
    <w:link w:val="90"/>
    <w:qFormat/>
    <w:uiPriority w:val="0"/>
    <w:rPr>
      <w:rFonts w:ascii="黑体" w:hAnsi="黑体" w:eastAsia="黑体"/>
      <w:sz w:val="96"/>
      <w:szCs w:val="96"/>
    </w:rPr>
  </w:style>
  <w:style w:type="paragraph" w:customStyle="1" w:styleId="92">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93">
    <w:name w:val="网格型9"/>
    <w:basedOn w:val="29"/>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
    <w:name w:val="10"/>
    <w:basedOn w:val="31"/>
    <w:qFormat/>
    <w:uiPriority w:val="0"/>
    <w:rPr>
      <w:rFonts w:hint="default" w:ascii="Calibri" w:hAnsi="Calibri" w:cs="Calibri"/>
    </w:rPr>
  </w:style>
  <w:style w:type="character" w:customStyle="1" w:styleId="95">
    <w:name w:val="15"/>
    <w:basedOn w:val="31"/>
    <w:qFormat/>
    <w:uiPriority w:val="0"/>
    <w:rPr>
      <w:rFonts w:hint="default" w:ascii="Calibri" w:hAnsi="Calibri" w:cs="Calibri"/>
      <w:sz w:val="21"/>
      <w:szCs w:val="21"/>
    </w:rPr>
  </w:style>
  <w:style w:type="table" w:customStyle="1" w:styleId="96">
    <w:name w:val="网格型3"/>
    <w:basedOn w:val="29"/>
    <w:qFormat/>
    <w:uiPriority w:val="3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
    <w:name w:val="网格型2"/>
    <w:basedOn w:val="29"/>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bjh-p"/>
    <w:basedOn w:val="31"/>
    <w:qFormat/>
    <w:uiPriority w:val="0"/>
  </w:style>
  <w:style w:type="character" w:customStyle="1" w:styleId="99">
    <w:name w:val="bjh-strong"/>
    <w:basedOn w:val="31"/>
    <w:qFormat/>
    <w:uiPriority w:val="0"/>
  </w:style>
  <w:style w:type="paragraph" w:customStyle="1" w:styleId="100">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101">
    <w:name w:val="网格型8"/>
    <w:basedOn w:val="29"/>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表内"/>
    <w:basedOn w:val="1"/>
    <w:link w:val="103"/>
    <w:qFormat/>
    <w:uiPriority w:val="0"/>
    <w:pPr>
      <w:widowControl/>
      <w:spacing w:line="360" w:lineRule="auto"/>
      <w:jc w:val="center"/>
    </w:pPr>
    <w:rPr>
      <w:rFonts w:ascii="Arial" w:hAnsi="Arial" w:eastAsia="仿宋" w:cs="Arial"/>
      <w:kern w:val="0"/>
      <w:sz w:val="24"/>
      <w:szCs w:val="20"/>
    </w:rPr>
  </w:style>
  <w:style w:type="character" w:customStyle="1" w:styleId="103">
    <w:name w:val="表内 字符"/>
    <w:basedOn w:val="31"/>
    <w:link w:val="102"/>
    <w:qFormat/>
    <w:uiPriority w:val="0"/>
    <w:rPr>
      <w:rFonts w:ascii="Arial" w:hAnsi="Arial" w:eastAsia="仿宋" w:cs="Arial"/>
      <w:kern w:val="0"/>
      <w:sz w:val="24"/>
      <w:szCs w:val="20"/>
    </w:rPr>
  </w:style>
  <w:style w:type="character" w:customStyle="1" w:styleId="104">
    <w:name w:val="标题 6 字符"/>
    <w:basedOn w:val="31"/>
    <w:link w:val="6"/>
    <w:semiHidden/>
    <w:qFormat/>
    <w:uiPriority w:val="9"/>
    <w:rPr>
      <w:rFonts w:asciiTheme="majorHAnsi" w:hAnsiTheme="majorHAnsi" w:eastAsiaTheme="majorEastAsia" w:cstheme="majorBidi"/>
      <w:b/>
      <w:bCs/>
      <w:sz w:val="24"/>
      <w:szCs w:val="24"/>
    </w:rPr>
  </w:style>
  <w:style w:type="paragraph" w:customStyle="1" w:styleId="105">
    <w:name w:val="表格_段落"/>
    <w:basedOn w:val="1"/>
    <w:qFormat/>
    <w:uiPriority w:val="0"/>
    <w:pPr>
      <w:widowControl/>
      <w:kinsoku w:val="0"/>
      <w:autoSpaceDE w:val="0"/>
      <w:autoSpaceDN w:val="0"/>
      <w:adjustRightInd w:val="0"/>
      <w:snapToGrid w:val="0"/>
      <w:spacing w:after="50" w:afterLines="50" w:line="300" w:lineRule="auto"/>
      <w:ind w:firstLine="482" w:firstLineChars="200"/>
      <w:jc w:val="left"/>
      <w:textAlignment w:val="baseline"/>
    </w:pPr>
    <w:rPr>
      <w:rFonts w:ascii="Times New Roman" w:hAnsi="Times New Roman" w:eastAsia="仿宋_GB2312" w:cs="Arial"/>
      <w:snapToGrid w:val="0"/>
      <w:color w:val="000000"/>
      <w:kern w:val="0"/>
      <w:sz w:val="24"/>
      <w:szCs w:val="21"/>
      <w:lang w:eastAsia="en-US"/>
    </w:rPr>
  </w:style>
  <w:style w:type="paragraph" w:customStyle="1" w:styleId="106">
    <w:name w:val="表格_字词"/>
    <w:basedOn w:val="1"/>
    <w:qFormat/>
    <w:uiPriority w:val="0"/>
    <w:pPr>
      <w:widowControl/>
      <w:kinsoku w:val="0"/>
      <w:autoSpaceDE w:val="0"/>
      <w:autoSpaceDN w:val="0"/>
      <w:adjustRightInd w:val="0"/>
      <w:snapToGrid w:val="0"/>
      <w:spacing w:before="20" w:beforeLines="20" w:after="20" w:afterLines="20"/>
      <w:jc w:val="left"/>
      <w:textAlignment w:val="baseline"/>
    </w:pPr>
    <w:rPr>
      <w:rFonts w:ascii="Times New Roman" w:hAnsi="Times New Roman" w:eastAsia="仿宋_GB2312" w:cs="仿宋_GB2312"/>
      <w:snapToGrid w:val="0"/>
      <w:color w:val="000000"/>
      <w:kern w:val="0"/>
      <w:sz w:val="24"/>
      <w:szCs w:val="21"/>
    </w:rPr>
  </w:style>
  <w:style w:type="paragraph" w:customStyle="1" w:styleId="107">
    <w:name w:val="表格_竖"/>
    <w:basedOn w:val="1"/>
    <w:qFormat/>
    <w:uiPriority w:val="0"/>
    <w:pPr>
      <w:widowControl/>
      <w:kinsoku w:val="0"/>
      <w:autoSpaceDE w:val="0"/>
      <w:autoSpaceDN w:val="0"/>
      <w:adjustRightInd w:val="0"/>
      <w:snapToGrid w:val="0"/>
      <w:spacing w:before="20" w:beforeLines="20" w:after="20" w:afterLines="20"/>
      <w:jc w:val="center"/>
      <w:textAlignment w:val="baseline"/>
    </w:pPr>
    <w:rPr>
      <w:rFonts w:ascii="Times New Roman" w:hAnsi="Times New Roman" w:eastAsia="仿宋_GB2312" w:cs="Arial"/>
      <w:snapToGrid w:val="0"/>
      <w:color w:val="000000"/>
      <w:kern w:val="0"/>
      <w:sz w:val="24"/>
      <w:szCs w:val="21"/>
      <w:lang w:eastAsia="en-US"/>
    </w:rPr>
  </w:style>
  <w:style w:type="character" w:customStyle="1" w:styleId="108">
    <w:name w:val="标题 1 字符1"/>
    <w:qFormat/>
    <w:uiPriority w:val="0"/>
    <w:rPr>
      <w:rFonts w:ascii="Times New Roman" w:hAnsi="Times New Roman" w:eastAsia="仿宋" w:cs="Times New Roman"/>
      <w:b/>
      <w:bCs/>
      <w:kern w:val="44"/>
      <w:sz w:val="44"/>
      <w:szCs w:val="44"/>
      <w:lang w:bidi="en-US"/>
    </w:rPr>
  </w:style>
  <w:style w:type="character" w:customStyle="1" w:styleId="109">
    <w:name w:val="标题 2 字符1"/>
    <w:qFormat/>
    <w:uiPriority w:val="0"/>
    <w:rPr>
      <w:rFonts w:ascii="等线 Light" w:hAnsi="等线 Light" w:eastAsia="等线 Light" w:cs="Times New Roman"/>
      <w:b/>
      <w:bCs/>
      <w:kern w:val="2"/>
      <w:sz w:val="32"/>
      <w:szCs w:val="32"/>
      <w:lang w:bidi="en-US"/>
    </w:rPr>
  </w:style>
  <w:style w:type="character" w:customStyle="1" w:styleId="110">
    <w:name w:val="标题 字符"/>
    <w:basedOn w:val="31"/>
    <w:link w:val="26"/>
    <w:qFormat/>
    <w:uiPriority w:val="0"/>
    <w:rPr>
      <w:rFonts w:ascii="等线 Light" w:hAnsi="等线 Light" w:eastAsia="宋体" w:cs="Times New Roman"/>
      <w:b/>
      <w:bCs/>
      <w:sz w:val="32"/>
      <w:szCs w:val="32"/>
      <w:lang w:bidi="en-US"/>
    </w:rPr>
  </w:style>
  <w:style w:type="character" w:customStyle="1" w:styleId="111">
    <w:name w:val="标题 3 字符1"/>
    <w:qFormat/>
    <w:uiPriority w:val="0"/>
    <w:rPr>
      <w:rFonts w:ascii="等线 Light" w:hAnsi="等线 Light" w:eastAsia="宋体" w:cs="Times New Roman"/>
      <w:b/>
      <w:bCs/>
      <w:kern w:val="2"/>
      <w:sz w:val="32"/>
      <w:szCs w:val="32"/>
    </w:rPr>
  </w:style>
  <w:style w:type="character" w:customStyle="1" w:styleId="112">
    <w:name w:val="批注文字 字符1"/>
    <w:qFormat/>
    <w:uiPriority w:val="0"/>
    <w:rPr>
      <w:rFonts w:ascii="Times New Roman" w:hAnsi="Times New Roman" w:eastAsia="仿宋" w:cs="Times New Roman"/>
      <w:kern w:val="2"/>
      <w:sz w:val="28"/>
      <w:lang w:bidi="en-US"/>
    </w:rPr>
  </w:style>
  <w:style w:type="character" w:customStyle="1" w:styleId="113">
    <w:name w:val="正文文本 字符"/>
    <w:basedOn w:val="31"/>
    <w:link w:val="11"/>
    <w:qFormat/>
    <w:uiPriority w:val="0"/>
    <w:rPr>
      <w:rFonts w:ascii="Times New Roman" w:hAnsi="Times New Roman" w:eastAsia="仿宋" w:cs="Times New Roman"/>
      <w:sz w:val="28"/>
      <w:szCs w:val="20"/>
      <w:lang w:bidi="en-US"/>
    </w:rPr>
  </w:style>
  <w:style w:type="character" w:customStyle="1" w:styleId="114">
    <w:name w:val="正文文本缩进 字符"/>
    <w:basedOn w:val="31"/>
    <w:link w:val="12"/>
    <w:qFormat/>
    <w:uiPriority w:val="0"/>
    <w:rPr>
      <w:rFonts w:ascii="Times New Roman" w:hAnsi="Times New Roman" w:eastAsia="仿宋" w:cs="Times New Roman"/>
      <w:sz w:val="28"/>
      <w:szCs w:val="20"/>
      <w:lang w:bidi="en-US"/>
    </w:rPr>
  </w:style>
  <w:style w:type="character" w:customStyle="1" w:styleId="115">
    <w:name w:val="批注框文本 字符1"/>
    <w:qFormat/>
    <w:uiPriority w:val="0"/>
    <w:rPr>
      <w:rFonts w:ascii="Times New Roman" w:hAnsi="Times New Roman" w:eastAsia="仿宋" w:cs="Times New Roman"/>
      <w:kern w:val="2"/>
      <w:sz w:val="18"/>
      <w:szCs w:val="18"/>
      <w:lang w:bidi="en-US"/>
    </w:rPr>
  </w:style>
  <w:style w:type="character" w:customStyle="1" w:styleId="116">
    <w:name w:val="页脚 字符1"/>
    <w:qFormat/>
    <w:uiPriority w:val="0"/>
    <w:rPr>
      <w:rFonts w:ascii="Times New Roman" w:hAnsi="Times New Roman" w:eastAsia="仿宋" w:cs="Times New Roman"/>
      <w:kern w:val="2"/>
      <w:sz w:val="18"/>
      <w:szCs w:val="18"/>
      <w:lang w:bidi="en-US"/>
    </w:rPr>
  </w:style>
  <w:style w:type="character" w:customStyle="1" w:styleId="117">
    <w:name w:val="页眉 字符1"/>
    <w:qFormat/>
    <w:uiPriority w:val="0"/>
    <w:rPr>
      <w:rFonts w:ascii="Times New Roman" w:hAnsi="Times New Roman" w:eastAsia="仿宋" w:cs="Times New Roman"/>
      <w:kern w:val="2"/>
      <w:sz w:val="18"/>
      <w:szCs w:val="18"/>
      <w:lang w:bidi="en-US"/>
    </w:rPr>
  </w:style>
  <w:style w:type="character" w:customStyle="1" w:styleId="118">
    <w:name w:val="副标题 字符"/>
    <w:basedOn w:val="31"/>
    <w:link w:val="21"/>
    <w:qFormat/>
    <w:uiPriority w:val="0"/>
    <w:rPr>
      <w:rFonts w:ascii="黑体" w:hAnsi="黑体" w:eastAsia="黑体" w:cs="Times New Roman"/>
      <w:color w:val="000000"/>
      <w:sz w:val="36"/>
      <w:szCs w:val="30"/>
    </w:rPr>
  </w:style>
  <w:style w:type="character" w:customStyle="1" w:styleId="119">
    <w:name w:val="批注主题 字符2"/>
    <w:qFormat/>
    <w:uiPriority w:val="0"/>
    <w:rPr>
      <w:rFonts w:ascii="等线" w:hAnsi="等线" w:eastAsia="等线" w:cs="Times New Roman"/>
      <w:b/>
      <w:bCs/>
      <w:kern w:val="2"/>
      <w:sz w:val="21"/>
      <w:szCs w:val="22"/>
      <w:lang w:bidi="en-US"/>
    </w:rPr>
  </w:style>
  <w:style w:type="character" w:customStyle="1" w:styleId="120">
    <w:name w:val="正文文本首行缩进 2 字符"/>
    <w:basedOn w:val="114"/>
    <w:qFormat/>
    <w:uiPriority w:val="0"/>
    <w:rPr>
      <w:rFonts w:ascii="Times New Roman" w:hAnsi="Times New Roman" w:eastAsia="仿宋" w:cs="Times New Roman"/>
      <w:sz w:val="28"/>
      <w:szCs w:val="20"/>
      <w:lang w:bidi="en-US"/>
    </w:rPr>
  </w:style>
  <w:style w:type="character" w:customStyle="1" w:styleId="121">
    <w:name w:val="正文文本首行缩进 2 字符1"/>
    <w:link w:val="28"/>
    <w:qFormat/>
    <w:uiPriority w:val="0"/>
    <w:rPr>
      <w:rFonts w:ascii="Times New Roman" w:hAnsi="Times New Roman" w:eastAsia="宋体" w:cs="Times New Roman"/>
      <w:sz w:val="28"/>
      <w:szCs w:val="20"/>
      <w:lang w:bidi="en-US"/>
    </w:rPr>
  </w:style>
  <w:style w:type="table" w:customStyle="1" w:styleId="122">
    <w:name w:val="网格型4"/>
    <w:basedOn w:val="2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页脚 Char"/>
    <w:qFormat/>
    <w:uiPriority w:val="0"/>
    <w:rPr>
      <w:rFonts w:ascii="Times New Roman" w:hAnsi="Times New Roman" w:eastAsia="宋体" w:cs="Times New Roman"/>
      <w:sz w:val="18"/>
      <w:szCs w:val="18"/>
    </w:rPr>
  </w:style>
  <w:style w:type="character" w:customStyle="1" w:styleId="124">
    <w:name w:val="表格1 Char"/>
    <w:link w:val="125"/>
    <w:qFormat/>
    <w:uiPriority w:val="0"/>
    <w:rPr>
      <w:rFonts w:ascii="Times New Roman" w:hAnsi="Times New Roman" w:eastAsia="方正仿宋_GBK" w:cs="Times New Roman"/>
      <w:color w:val="000000"/>
      <w:szCs w:val="24"/>
    </w:rPr>
  </w:style>
  <w:style w:type="paragraph" w:customStyle="1" w:styleId="125">
    <w:name w:val="表格1"/>
    <w:basedOn w:val="1"/>
    <w:link w:val="124"/>
    <w:qFormat/>
    <w:uiPriority w:val="0"/>
    <w:pPr>
      <w:adjustRightInd w:val="0"/>
      <w:snapToGrid w:val="0"/>
      <w:jc w:val="center"/>
    </w:pPr>
    <w:rPr>
      <w:rFonts w:ascii="Times New Roman" w:hAnsi="Times New Roman" w:eastAsia="方正仿宋_GBK" w:cs="Times New Roman"/>
      <w:color w:val="000000"/>
      <w:szCs w:val="24"/>
    </w:rPr>
  </w:style>
  <w:style w:type="paragraph" w:customStyle="1" w:styleId="1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7">
    <w:name w:val="_Style 13"/>
    <w:basedOn w:val="12"/>
    <w:next w:val="28"/>
    <w:qFormat/>
    <w:uiPriority w:val="0"/>
    <w:pPr>
      <w:ind w:firstLine="420"/>
    </w:pPr>
    <w:rPr>
      <w:rFonts w:eastAsia="宋体"/>
    </w:rPr>
  </w:style>
  <w:style w:type="paragraph" w:customStyle="1" w:styleId="128">
    <w:name w:val="WPSOffice手动目录 1"/>
    <w:qFormat/>
    <w:uiPriority w:val="0"/>
    <w:rPr>
      <w:rFonts w:ascii="Times New Roman" w:hAnsi="Times New Roman" w:eastAsia="宋体" w:cs="Times New Roman"/>
      <w:lang w:val="en-US" w:eastAsia="zh-CN" w:bidi="ar-SA"/>
    </w:rPr>
  </w:style>
  <w:style w:type="paragraph" w:customStyle="1" w:styleId="129">
    <w:name w:val="_Style 15"/>
    <w:basedOn w:val="1"/>
    <w:next w:val="51"/>
    <w:qFormat/>
    <w:uiPriority w:val="0"/>
    <w:pPr>
      <w:widowControl/>
      <w:adjustRightInd w:val="0"/>
      <w:snapToGrid w:val="0"/>
      <w:spacing w:line="360" w:lineRule="auto"/>
      <w:ind w:firstLine="420" w:firstLineChars="200"/>
    </w:pPr>
    <w:rPr>
      <w:rFonts w:ascii="Times New Roman" w:hAnsi="Times New Roman" w:eastAsia="宋体" w:cs="Times New Roman"/>
      <w:sz w:val="28"/>
      <w:szCs w:val="20"/>
      <w:lang w:bidi="en-US"/>
    </w:rPr>
  </w:style>
  <w:style w:type="paragraph" w:customStyle="1" w:styleId="13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1">
    <w:name w:val="列出段落8"/>
    <w:basedOn w:val="1"/>
    <w:qFormat/>
    <w:uiPriority w:val="0"/>
    <w:pPr>
      <w:widowControl/>
      <w:adjustRightInd w:val="0"/>
      <w:snapToGrid w:val="0"/>
      <w:spacing w:line="360" w:lineRule="auto"/>
      <w:ind w:firstLine="420" w:firstLineChars="200"/>
    </w:pPr>
    <w:rPr>
      <w:rFonts w:ascii="Calibri" w:hAnsi="Calibri" w:eastAsia="宋体" w:cs="Times New Roman"/>
      <w:sz w:val="28"/>
      <w:szCs w:val="20"/>
      <w:lang w:bidi="en-US"/>
    </w:rPr>
  </w:style>
  <w:style w:type="table" w:customStyle="1" w:styleId="132">
    <w:name w:val="网格型11"/>
    <w:basedOn w:val="29"/>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21"/>
    <w:basedOn w:val="29"/>
    <w:qFormat/>
    <w:uiPriority w:val="39"/>
    <w:rPr>
      <w:rFonts w:ascii="Times New Roman" w:hAnsi="Times New Roman"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81"/>
    <w:basedOn w:val="29"/>
    <w:qFormat/>
    <w:uiPriority w:val="39"/>
    <w:rPr>
      <w:rFonts w:ascii="Times New Roman" w:hAnsi="Times New Roman"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51"/>
    <w:basedOn w:val="29"/>
    <w:qFormat/>
    <w:uiPriority w:val="3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批注主题 字符1"/>
    <w:semiHidden/>
    <w:qFormat/>
    <w:uiPriority w:val="99"/>
    <w:rPr>
      <w:rFonts w:ascii="Times New Roman" w:hAnsi="Times New Roman" w:eastAsia="宋体" w:cs="Times New Roman"/>
      <w:b/>
      <w:bCs/>
    </w:rPr>
  </w:style>
  <w:style w:type="table" w:customStyle="1" w:styleId="137">
    <w:name w:val="网格型91"/>
    <w:basedOn w:val="29"/>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31"/>
    <w:basedOn w:val="29"/>
    <w:qFormat/>
    <w:uiPriority w:val="3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_Style 52"/>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table" w:customStyle="1" w:styleId="140">
    <w:name w:val="网格型22"/>
    <w:basedOn w:val="2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font61"/>
    <w:basedOn w:val="31"/>
    <w:qFormat/>
    <w:uiPriority w:val="0"/>
    <w:rPr>
      <w:rFonts w:hint="eastAsia" w:ascii="仿宋" w:hAnsi="仿宋" w:eastAsia="仿宋" w:cs="仿宋"/>
      <w:color w:val="000000"/>
      <w:sz w:val="28"/>
      <w:szCs w:val="28"/>
      <w:u w:val="none"/>
    </w:rPr>
  </w:style>
  <w:style w:type="character" w:customStyle="1" w:styleId="142">
    <w:name w:val="font41"/>
    <w:basedOn w:val="31"/>
    <w:qFormat/>
    <w:uiPriority w:val="0"/>
    <w:rPr>
      <w:rFonts w:hint="default" w:ascii="Times New Roman" w:hAnsi="Times New Roman" w:eastAsia="宋体" w:cs="Times New Roman"/>
      <w:color w:val="000000"/>
      <w:sz w:val="28"/>
      <w:szCs w:val="28"/>
      <w:u w:val="none"/>
    </w:rPr>
  </w:style>
  <w:style w:type="character" w:customStyle="1" w:styleId="143">
    <w:name w:val="font31"/>
    <w:basedOn w:val="31"/>
    <w:qFormat/>
    <w:uiPriority w:val="0"/>
    <w:rPr>
      <w:rFonts w:hint="default" w:ascii="Times New Roman" w:hAnsi="Times New Roman" w:eastAsia="宋体" w:cs="Times New Roman"/>
      <w:color w:val="000000"/>
      <w:sz w:val="28"/>
      <w:szCs w:val="28"/>
      <w:u w:val="none"/>
    </w:rPr>
  </w:style>
  <w:style w:type="character" w:customStyle="1" w:styleId="144">
    <w:name w:val="font11"/>
    <w:basedOn w:val="31"/>
    <w:qFormat/>
    <w:uiPriority w:val="0"/>
    <w:rPr>
      <w:rFonts w:hint="default" w:ascii="Times New Roman" w:hAnsi="Times New Roman" w:eastAsia="宋体" w:cs="Times New Roman"/>
      <w:color w:val="000000"/>
      <w:sz w:val="22"/>
      <w:szCs w:val="22"/>
      <w:u w:val="none"/>
    </w:rPr>
  </w:style>
  <w:style w:type="paragraph" w:customStyle="1" w:styleId="145">
    <w:name w:val="表格内容"/>
    <w:basedOn w:val="1"/>
    <w:qFormat/>
    <w:uiPriority w:val="0"/>
    <w:pPr>
      <w:widowControl/>
      <w:adjustRightInd w:val="0"/>
      <w:snapToGrid w:val="0"/>
      <w:spacing w:line="360" w:lineRule="auto"/>
      <w:jc w:val="center"/>
    </w:pPr>
    <w:rPr>
      <w:rFonts w:hint="eastAsia" w:ascii="Times New Roman" w:hAnsi="Times New Roman" w:eastAsia="仿宋" w:cs="Times New Roman"/>
      <w:sz w:val="24"/>
      <w:szCs w:val="20"/>
      <w:lang w:bidi="en-US"/>
    </w:rPr>
  </w:style>
  <w:style w:type="character" w:customStyle="1" w:styleId="146">
    <w:name w:val="font81"/>
    <w:basedOn w:val="31"/>
    <w:qFormat/>
    <w:uiPriority w:val="0"/>
    <w:rPr>
      <w:rFonts w:hint="eastAsia" w:ascii="宋体" w:hAnsi="宋体" w:eastAsia="宋体" w:cs="宋体"/>
      <w:color w:val="000000"/>
      <w:sz w:val="21"/>
      <w:szCs w:val="21"/>
      <w:u w:val="none"/>
    </w:rPr>
  </w:style>
  <w:style w:type="character" w:customStyle="1" w:styleId="147">
    <w:name w:val="font91"/>
    <w:basedOn w:val="31"/>
    <w:qFormat/>
    <w:uiPriority w:val="0"/>
    <w:rPr>
      <w:rFonts w:hint="eastAsia" w:ascii="宋体" w:hAnsi="宋体" w:eastAsia="宋体" w:cs="宋体"/>
      <w:color w:val="000000"/>
      <w:sz w:val="22"/>
      <w:szCs w:val="22"/>
      <w:u w:val="none"/>
    </w:rPr>
  </w:style>
  <w:style w:type="character" w:customStyle="1" w:styleId="148">
    <w:name w:val="font01"/>
    <w:basedOn w:val="31"/>
    <w:qFormat/>
    <w:uiPriority w:val="0"/>
    <w:rPr>
      <w:rFonts w:hint="eastAsia" w:ascii="宋体" w:hAnsi="宋体" w:eastAsia="宋体" w:cs="宋体"/>
      <w:color w:val="000000"/>
      <w:sz w:val="22"/>
      <w:szCs w:val="22"/>
      <w:u w:val="none"/>
    </w:rPr>
  </w:style>
  <w:style w:type="character" w:customStyle="1" w:styleId="149">
    <w:name w:val="font101"/>
    <w:basedOn w:val="31"/>
    <w:qFormat/>
    <w:uiPriority w:val="0"/>
    <w:rPr>
      <w:rFonts w:hint="default" w:ascii="Times New Roman" w:hAnsi="Times New Roman" w:eastAsia="宋体" w:cs="Times New Roman"/>
      <w:color w:val="000000"/>
      <w:sz w:val="21"/>
      <w:szCs w:val="21"/>
      <w:u w:val="none"/>
      <w:vertAlign w:val="subscript"/>
    </w:rPr>
  </w:style>
  <w:style w:type="character" w:customStyle="1" w:styleId="150">
    <w:name w:val="font112"/>
    <w:basedOn w:val="31"/>
    <w:qFormat/>
    <w:uiPriority w:val="0"/>
    <w:rPr>
      <w:rFonts w:hint="default" w:ascii="Times New Roman" w:hAnsi="Times New Roman" w:eastAsia="宋体" w:cs="Times New Roman"/>
      <w:color w:val="000000"/>
      <w:sz w:val="21"/>
      <w:szCs w:val="21"/>
      <w:u w:val="none"/>
      <w:vertAlign w:val="superscript"/>
    </w:rPr>
  </w:style>
  <w:style w:type="table" w:customStyle="1" w:styleId="151">
    <w:name w:val="Table Normal"/>
    <w:semiHidden/>
    <w:unhideWhenUsed/>
    <w:qFormat/>
    <w:uiPriority w:val="2"/>
    <w:tblPr>
      <w:tblCellMar>
        <w:top w:w="0" w:type="dxa"/>
        <w:left w:w="0" w:type="dxa"/>
        <w:bottom w:w="0" w:type="dxa"/>
        <w:right w:w="0" w:type="dxa"/>
      </w:tblCellMar>
    </w:tblPr>
  </w:style>
  <w:style w:type="paragraph" w:customStyle="1" w:styleId="152">
    <w:name w:val="表内文字"/>
    <w:basedOn w:val="1"/>
    <w:link w:val="153"/>
    <w:qFormat/>
    <w:uiPriority w:val="0"/>
    <w:pPr>
      <w:autoSpaceDE w:val="0"/>
      <w:autoSpaceDN w:val="0"/>
      <w:spacing w:line="300" w:lineRule="auto"/>
    </w:pPr>
    <w:rPr>
      <w:rFonts w:ascii="Times New Roman" w:hAnsi="Times New Roman" w:eastAsia="仿宋" w:cs="Times New Roman"/>
      <w:kern w:val="0"/>
      <w:lang w:val="zh-CN" w:bidi="zh-CN"/>
    </w:rPr>
  </w:style>
  <w:style w:type="character" w:customStyle="1" w:styleId="153">
    <w:name w:val="表内文字 字符"/>
    <w:basedOn w:val="31"/>
    <w:link w:val="152"/>
    <w:qFormat/>
    <w:uiPriority w:val="0"/>
    <w:rPr>
      <w:rFonts w:ascii="Times New Roman" w:hAnsi="Times New Roman" w:eastAsia="仿宋" w:cs="Times New Roman"/>
      <w:kern w:val="0"/>
      <w:lang w:val="zh-CN" w:bidi="zh-CN"/>
    </w:rPr>
  </w:style>
  <w:style w:type="paragraph" w:customStyle="1" w:styleId="154">
    <w:name w:val="Default"/>
    <w:qFormat/>
    <w:uiPriority w:val="99"/>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155">
    <w:name w:val="Table Paragraph"/>
    <w:basedOn w:val="1"/>
    <w:link w:val="156"/>
    <w:qFormat/>
    <w:uiPriority w:val="1"/>
    <w:pPr>
      <w:autoSpaceDE w:val="0"/>
      <w:autoSpaceDN w:val="0"/>
      <w:jc w:val="left"/>
    </w:pPr>
    <w:rPr>
      <w:rFonts w:ascii="仿宋" w:hAnsi="仿宋" w:eastAsia="仿宋" w:cs="仿宋"/>
      <w:kern w:val="0"/>
      <w:sz w:val="22"/>
      <w:lang w:val="zh-CN" w:bidi="zh-CN"/>
    </w:rPr>
  </w:style>
  <w:style w:type="character" w:customStyle="1" w:styleId="156">
    <w:name w:val="Table Paragraph 字符"/>
    <w:basedOn w:val="31"/>
    <w:link w:val="155"/>
    <w:qFormat/>
    <w:uiPriority w:val="1"/>
    <w:rPr>
      <w:rFonts w:ascii="仿宋" w:hAnsi="仿宋" w:eastAsia="仿宋" w:cs="仿宋"/>
      <w:kern w:val="0"/>
      <w:sz w:val="22"/>
      <w:lang w:val="zh-CN" w:bidi="zh-CN"/>
    </w:rPr>
  </w:style>
  <w:style w:type="character" w:customStyle="1" w:styleId="157">
    <w:name w:val="font21"/>
    <w:basedOn w:val="31"/>
    <w:qFormat/>
    <w:uiPriority w:val="0"/>
    <w:rPr>
      <w:rFonts w:hint="default" w:ascii="Times New Roman" w:hAnsi="Times New Roman" w:cs="Times New Roman"/>
      <w:color w:val="000000"/>
      <w:sz w:val="21"/>
      <w:szCs w:val="21"/>
      <w:u w:val="none"/>
    </w:rPr>
  </w:style>
  <w:style w:type="table" w:customStyle="1" w:styleId="158">
    <w:name w:val="网格型12"/>
    <w:basedOn w:val="2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网格型13"/>
    <w:basedOn w:val="2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23"/>
    <w:basedOn w:val="2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1">
    <w:name w:val="TOC 标题31"/>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table" w:customStyle="1" w:styleId="162">
    <w:name w:val="网格型82"/>
    <w:basedOn w:val="2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网格型14"/>
    <w:basedOn w:val="2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24"/>
    <w:basedOn w:val="2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网格型83"/>
    <w:basedOn w:val="2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修订1"/>
    <w:next w:val="16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8">
    <w:name w:val="修订3"/>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84775</Words>
  <Characters>483222</Characters>
  <Lines>4026</Lines>
  <Paragraphs>1133</Paragraphs>
  <TotalTime>64</TotalTime>
  <ScaleCrop>false</ScaleCrop>
  <LinksUpToDate>false</LinksUpToDate>
  <CharactersWithSpaces>566864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2023-12-18T11:32:00Z</dcterms:created>
  <dc:creator>Li</dc:creator>
  <cp:lastModifiedBy>Administrator</cp:lastModifiedBy>
  <cp:lastPrinted>2024-04-08T03:16:00Z</cp:lastPrinted>
  <dcterms:modified xsi:type="dcterms:W3CDTF">2024-04-08T03:48:21Z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989E4D3425C44E358B696620031C0B2E_13</vt:lpwstr>
  </property>
</Properties>
</file>